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AA" w:rsidRPr="00115529" w:rsidRDefault="00732DAA" w:rsidP="0006055B">
      <w:pPr>
        <w:spacing w:after="0" w:line="360" w:lineRule="auto"/>
        <w:jc w:val="center"/>
        <w:rPr>
          <w:rFonts w:ascii="Arial" w:hAnsi="Arial" w:cs="Arial"/>
          <w:b/>
          <w:u w:val="single"/>
        </w:rPr>
      </w:pPr>
      <w:r w:rsidRPr="00115529">
        <w:rPr>
          <w:rFonts w:ascii="Arial" w:hAnsi="Arial" w:cs="Arial"/>
          <w:b/>
          <w:u w:val="single"/>
        </w:rPr>
        <w:t>Resumen Informe Anual sobre Derechos Humanos 2015</w:t>
      </w:r>
    </w:p>
    <w:p w:rsidR="00732DAA" w:rsidRPr="00115529" w:rsidRDefault="0006055B" w:rsidP="0006055B">
      <w:pPr>
        <w:spacing w:after="0" w:line="360" w:lineRule="auto"/>
        <w:jc w:val="center"/>
        <w:rPr>
          <w:rFonts w:ascii="Arial" w:hAnsi="Arial" w:cs="Arial"/>
          <w:b/>
          <w:u w:val="single"/>
        </w:rPr>
      </w:pPr>
      <w:r w:rsidRPr="00115529">
        <w:rPr>
          <w:rFonts w:ascii="Arial" w:hAnsi="Arial" w:cs="Arial"/>
          <w:b/>
          <w:u w:val="single"/>
        </w:rPr>
        <w:t>Universidad Diego Portales</w:t>
      </w:r>
    </w:p>
    <w:p w:rsidR="0006055B" w:rsidRDefault="0006055B" w:rsidP="0006055B">
      <w:pPr>
        <w:spacing w:after="0" w:line="360" w:lineRule="auto"/>
        <w:jc w:val="center"/>
        <w:rPr>
          <w:rFonts w:ascii="Arial" w:hAnsi="Arial" w:cs="Arial"/>
        </w:rPr>
      </w:pPr>
    </w:p>
    <w:p w:rsidR="0006055B" w:rsidRDefault="0006055B" w:rsidP="0006055B">
      <w:pPr>
        <w:spacing w:after="0" w:line="360" w:lineRule="auto"/>
        <w:jc w:val="center"/>
        <w:rPr>
          <w:rFonts w:ascii="Arial" w:hAnsi="Arial" w:cs="Arial"/>
        </w:rPr>
      </w:pPr>
    </w:p>
    <w:p w:rsidR="0006055B" w:rsidRDefault="0006055B" w:rsidP="0006055B">
      <w:pPr>
        <w:spacing w:after="0" w:line="360" w:lineRule="auto"/>
        <w:jc w:val="both"/>
        <w:rPr>
          <w:rFonts w:ascii="Arial" w:hAnsi="Arial" w:cs="Arial"/>
        </w:rPr>
      </w:pPr>
      <w:r>
        <w:rPr>
          <w:rFonts w:ascii="Arial" w:hAnsi="Arial" w:cs="Arial"/>
        </w:rPr>
        <w:t xml:space="preserve">Capítulos relevantes: </w:t>
      </w:r>
    </w:p>
    <w:p w:rsidR="0006055B" w:rsidRDefault="0006055B" w:rsidP="0006055B">
      <w:pPr>
        <w:spacing w:after="0" w:line="360" w:lineRule="auto"/>
        <w:jc w:val="both"/>
        <w:rPr>
          <w:rFonts w:ascii="Arial" w:hAnsi="Arial" w:cs="Arial"/>
        </w:rPr>
      </w:pPr>
      <w:r>
        <w:rPr>
          <w:rFonts w:ascii="Arial" w:hAnsi="Arial" w:cs="Arial"/>
        </w:rPr>
        <w:br/>
        <w:t xml:space="preserve">Capítulo </w:t>
      </w:r>
      <w:r w:rsidRPr="0006055B">
        <w:rPr>
          <w:rFonts w:ascii="Arial" w:hAnsi="Arial" w:cs="Arial"/>
        </w:rPr>
        <w:t>6</w:t>
      </w:r>
      <w:r>
        <w:rPr>
          <w:rFonts w:ascii="Arial" w:hAnsi="Arial" w:cs="Arial"/>
        </w:rPr>
        <w:t>:</w:t>
      </w:r>
      <w:r w:rsidRPr="0006055B">
        <w:rPr>
          <w:rFonts w:ascii="Arial" w:hAnsi="Arial" w:cs="Arial"/>
        </w:rPr>
        <w:t xml:space="preserve"> Hablar de diversidad sexual también es hablar de educación</w:t>
      </w:r>
      <w:r>
        <w:rPr>
          <w:rFonts w:ascii="Arial" w:hAnsi="Arial" w:cs="Arial"/>
        </w:rPr>
        <w:t xml:space="preserve"> </w:t>
      </w:r>
      <w:r w:rsidRPr="0006055B">
        <w:rPr>
          <w:rFonts w:ascii="Arial" w:hAnsi="Arial" w:cs="Arial"/>
        </w:rPr>
        <w:t>inclusiva: discriminación por orientación sexual e identidad de género</w:t>
      </w:r>
      <w:r>
        <w:rPr>
          <w:rFonts w:ascii="Arial" w:hAnsi="Arial" w:cs="Arial"/>
        </w:rPr>
        <w:t xml:space="preserve"> </w:t>
      </w:r>
      <w:r w:rsidRPr="0006055B">
        <w:rPr>
          <w:rFonts w:ascii="Arial" w:hAnsi="Arial" w:cs="Arial"/>
        </w:rPr>
        <w:t>en la educación chilena.</w:t>
      </w:r>
    </w:p>
    <w:p w:rsidR="0006055B" w:rsidRDefault="0006055B" w:rsidP="0006055B">
      <w:pPr>
        <w:spacing w:after="0" w:line="360" w:lineRule="auto"/>
        <w:jc w:val="both"/>
        <w:rPr>
          <w:rFonts w:ascii="Arial" w:hAnsi="Arial" w:cs="Arial"/>
        </w:rPr>
      </w:pPr>
    </w:p>
    <w:p w:rsidR="0006055B" w:rsidRDefault="0006055B" w:rsidP="0006055B">
      <w:pPr>
        <w:spacing w:after="0" w:line="360" w:lineRule="auto"/>
        <w:jc w:val="both"/>
        <w:rPr>
          <w:rFonts w:ascii="Arial" w:hAnsi="Arial" w:cs="Arial"/>
        </w:rPr>
      </w:pPr>
      <w:r>
        <w:rPr>
          <w:rFonts w:ascii="Arial" w:hAnsi="Arial" w:cs="Arial"/>
        </w:rPr>
        <w:t xml:space="preserve">Capítulo </w:t>
      </w:r>
      <w:r w:rsidRPr="0006055B">
        <w:rPr>
          <w:rFonts w:ascii="Arial" w:hAnsi="Arial" w:cs="Arial"/>
        </w:rPr>
        <w:t>9</w:t>
      </w:r>
      <w:r>
        <w:rPr>
          <w:rFonts w:ascii="Arial" w:hAnsi="Arial" w:cs="Arial"/>
        </w:rPr>
        <w:t>:</w:t>
      </w:r>
      <w:r w:rsidRPr="0006055B">
        <w:rPr>
          <w:rFonts w:ascii="Arial" w:hAnsi="Arial" w:cs="Arial"/>
        </w:rPr>
        <w:t xml:space="preserve"> Derechos humanos de la infancia y adolescen</w:t>
      </w:r>
      <w:r>
        <w:rPr>
          <w:rFonts w:ascii="Arial" w:hAnsi="Arial" w:cs="Arial"/>
        </w:rPr>
        <w:t>c</w:t>
      </w:r>
      <w:r w:rsidRPr="0006055B">
        <w:rPr>
          <w:rFonts w:ascii="Arial" w:hAnsi="Arial" w:cs="Arial"/>
        </w:rPr>
        <w:t>ia: ¿asegura el Estado</w:t>
      </w:r>
      <w:r>
        <w:rPr>
          <w:rFonts w:ascii="Arial" w:hAnsi="Arial" w:cs="Arial"/>
        </w:rPr>
        <w:t xml:space="preserve"> </w:t>
      </w:r>
      <w:r w:rsidRPr="0006055B">
        <w:rPr>
          <w:rFonts w:ascii="Arial" w:hAnsi="Arial" w:cs="Arial"/>
        </w:rPr>
        <w:t>a los niños, niñas y adolescentes el derecho a vivir en el seno de una</w:t>
      </w:r>
      <w:r>
        <w:rPr>
          <w:rFonts w:ascii="Arial" w:hAnsi="Arial" w:cs="Arial"/>
        </w:rPr>
        <w:t xml:space="preserve"> </w:t>
      </w:r>
      <w:r w:rsidRPr="0006055B">
        <w:rPr>
          <w:rFonts w:ascii="Arial" w:hAnsi="Arial" w:cs="Arial"/>
        </w:rPr>
        <w:t>familia</w:t>
      </w:r>
      <w:proofErr w:type="gramStart"/>
      <w:r w:rsidRPr="0006055B">
        <w:rPr>
          <w:rFonts w:ascii="Arial" w:hAnsi="Arial" w:cs="Arial"/>
        </w:rPr>
        <w:t>?.</w:t>
      </w:r>
      <w:proofErr w:type="gramEnd"/>
    </w:p>
    <w:p w:rsidR="0006055B" w:rsidRDefault="0006055B" w:rsidP="0006055B">
      <w:pPr>
        <w:spacing w:after="0" w:line="360" w:lineRule="auto"/>
        <w:jc w:val="both"/>
        <w:rPr>
          <w:rFonts w:ascii="Arial" w:hAnsi="Arial" w:cs="Arial"/>
        </w:rPr>
      </w:pPr>
    </w:p>
    <w:p w:rsidR="0006055B" w:rsidRDefault="0006055B" w:rsidP="0006055B">
      <w:pPr>
        <w:spacing w:after="0" w:line="360" w:lineRule="auto"/>
        <w:jc w:val="both"/>
        <w:rPr>
          <w:rFonts w:ascii="Arial" w:hAnsi="Arial" w:cs="Arial"/>
        </w:rPr>
      </w:pPr>
      <w:r>
        <w:rPr>
          <w:rFonts w:ascii="Arial" w:hAnsi="Arial" w:cs="Arial"/>
        </w:rPr>
        <w:t>Capítulo 10:</w:t>
      </w:r>
      <w:r w:rsidRPr="0006055B">
        <w:rPr>
          <w:rFonts w:ascii="Arial" w:hAnsi="Arial" w:cs="Arial"/>
        </w:rPr>
        <w:t xml:space="preserve"> Derechos de la diversidad sexual</w:t>
      </w:r>
      <w:r w:rsidR="00115529">
        <w:rPr>
          <w:rFonts w:ascii="Arial" w:hAnsi="Arial" w:cs="Arial"/>
        </w:rPr>
        <w:t xml:space="preserve"> </w:t>
      </w:r>
      <w:r w:rsidRPr="0006055B">
        <w:rPr>
          <w:rFonts w:ascii="Arial" w:hAnsi="Arial" w:cs="Arial"/>
        </w:rPr>
        <w:t>2015: avances y falencias.</w:t>
      </w:r>
    </w:p>
    <w:p w:rsidR="0006055B" w:rsidRDefault="0006055B" w:rsidP="0006055B">
      <w:pPr>
        <w:spacing w:after="0" w:line="360" w:lineRule="auto"/>
        <w:jc w:val="both"/>
        <w:rPr>
          <w:rFonts w:ascii="Arial" w:hAnsi="Arial" w:cs="Arial"/>
        </w:rPr>
      </w:pPr>
    </w:p>
    <w:p w:rsidR="0006055B" w:rsidRPr="0006055B" w:rsidRDefault="0006055B" w:rsidP="0006055B">
      <w:pPr>
        <w:spacing w:after="0" w:line="360" w:lineRule="auto"/>
        <w:jc w:val="both"/>
        <w:rPr>
          <w:rFonts w:ascii="Arial" w:hAnsi="Arial" w:cs="Arial"/>
          <w:u w:val="single"/>
        </w:rPr>
      </w:pPr>
      <w:r>
        <w:rPr>
          <w:rFonts w:ascii="Arial" w:hAnsi="Arial" w:cs="Arial"/>
        </w:rPr>
        <w:br/>
      </w:r>
      <w:r w:rsidRPr="0006055B">
        <w:rPr>
          <w:rFonts w:ascii="Arial" w:hAnsi="Arial" w:cs="Arial"/>
          <w:u w:val="single"/>
        </w:rPr>
        <w:t>Capítulo 6: Hablar de diversidad sexual ta</w:t>
      </w:r>
      <w:bookmarkStart w:id="0" w:name="_GoBack"/>
      <w:bookmarkEnd w:id="0"/>
      <w:r w:rsidRPr="0006055B">
        <w:rPr>
          <w:rFonts w:ascii="Arial" w:hAnsi="Arial" w:cs="Arial"/>
          <w:u w:val="single"/>
        </w:rPr>
        <w:t>mbién es hablar de educación inclusiva: discriminación por orientación sexual e identidad de género en la educación chilena.</w:t>
      </w:r>
    </w:p>
    <w:p w:rsidR="0006055B" w:rsidRDefault="0006055B" w:rsidP="0006055B">
      <w:pPr>
        <w:spacing w:after="0" w:line="360" w:lineRule="auto"/>
        <w:jc w:val="both"/>
        <w:rPr>
          <w:rFonts w:ascii="Arial" w:hAnsi="Arial" w:cs="Arial"/>
        </w:rPr>
      </w:pPr>
    </w:p>
    <w:p w:rsidR="0006055B" w:rsidRDefault="0006055B" w:rsidP="0006055B">
      <w:pPr>
        <w:spacing w:after="0" w:line="360" w:lineRule="auto"/>
        <w:ind w:firstLine="708"/>
        <w:jc w:val="both"/>
        <w:rPr>
          <w:rFonts w:ascii="Arial" w:hAnsi="Arial" w:cs="Arial"/>
        </w:rPr>
      </w:pPr>
      <w:r>
        <w:rPr>
          <w:rFonts w:ascii="Arial" w:hAnsi="Arial" w:cs="Arial"/>
        </w:rPr>
        <w:t>Este ca</w:t>
      </w:r>
      <w:r w:rsidR="0018007A">
        <w:rPr>
          <w:rFonts w:ascii="Arial" w:hAnsi="Arial" w:cs="Arial"/>
        </w:rPr>
        <w:t xml:space="preserve">pítulo comienza identificando por qué </w:t>
      </w:r>
      <w:r>
        <w:rPr>
          <w:rFonts w:ascii="Arial" w:hAnsi="Arial" w:cs="Arial"/>
        </w:rPr>
        <w:t xml:space="preserve">cuando hablamos de diversidad sexual estamos hablando de Derechos Humanos. </w:t>
      </w:r>
    </w:p>
    <w:p w:rsidR="0018007A" w:rsidRDefault="0018007A" w:rsidP="0006055B">
      <w:pPr>
        <w:spacing w:after="0" w:line="360" w:lineRule="auto"/>
        <w:ind w:firstLine="708"/>
        <w:jc w:val="both"/>
        <w:rPr>
          <w:rFonts w:ascii="Arial" w:hAnsi="Arial" w:cs="Arial"/>
        </w:rPr>
      </w:pPr>
      <w:r>
        <w:rPr>
          <w:rFonts w:ascii="Arial" w:hAnsi="Arial" w:cs="Arial"/>
        </w:rPr>
        <w:t xml:space="preserve">Se nos cita en diversas oportunidades en un breve análisis de la ley 20.609 </w:t>
      </w:r>
    </w:p>
    <w:p w:rsidR="00EF2024" w:rsidRDefault="00EF2024" w:rsidP="0006055B">
      <w:pPr>
        <w:spacing w:after="0" w:line="360" w:lineRule="auto"/>
        <w:ind w:firstLine="708"/>
        <w:jc w:val="both"/>
        <w:rPr>
          <w:rFonts w:ascii="Arial" w:hAnsi="Arial" w:cs="Arial"/>
        </w:rPr>
      </w:pPr>
      <w:r>
        <w:rPr>
          <w:rFonts w:ascii="Arial" w:hAnsi="Arial" w:cs="Arial"/>
        </w:rPr>
        <w:t xml:space="preserve">Se establece como tema fundamental la “Ley de Inclusión” (20.845 de 29 de mayo de 2015) por el enfoque inclusivo y abierto a la diversidad que plantea. </w:t>
      </w:r>
    </w:p>
    <w:p w:rsidR="00EF2024" w:rsidRDefault="00EF2024" w:rsidP="00C83E0D">
      <w:pPr>
        <w:spacing w:after="0" w:line="360" w:lineRule="auto"/>
        <w:ind w:firstLine="708"/>
        <w:jc w:val="both"/>
        <w:rPr>
          <w:rFonts w:ascii="Arial" w:hAnsi="Arial" w:cs="Arial"/>
        </w:rPr>
      </w:pPr>
      <w:r>
        <w:rPr>
          <w:rFonts w:ascii="Arial" w:hAnsi="Arial" w:cs="Arial"/>
        </w:rPr>
        <w:t>Se analizan las orientaciones del MINEDUC para la formación de sexualidad, afectividad y género en el currículo de Cs. Naturales y Orientación; y en material complementari</w:t>
      </w:r>
      <w:r w:rsidR="00EA1D31">
        <w:rPr>
          <w:rFonts w:ascii="Arial" w:hAnsi="Arial" w:cs="Arial"/>
        </w:rPr>
        <w:t>o. Respecto del primer análisis</w:t>
      </w:r>
      <w:r>
        <w:rPr>
          <w:rFonts w:ascii="Arial" w:hAnsi="Arial" w:cs="Arial"/>
        </w:rPr>
        <w:t xml:space="preserve">, en Cs. Naturales (7mo y 8vo) </w:t>
      </w:r>
      <w:r w:rsidR="00EA1D31">
        <w:rPr>
          <w:rFonts w:ascii="Arial" w:hAnsi="Arial" w:cs="Arial"/>
        </w:rPr>
        <w:t>en</w:t>
      </w:r>
      <w:r>
        <w:rPr>
          <w:rFonts w:ascii="Arial" w:hAnsi="Arial" w:cs="Arial"/>
        </w:rPr>
        <w:t xml:space="preserve"> en </w:t>
      </w:r>
      <w:r w:rsidR="00EA1D31">
        <w:rPr>
          <w:rFonts w:ascii="Arial" w:hAnsi="Arial" w:cs="Arial"/>
        </w:rPr>
        <w:t>Biología</w:t>
      </w:r>
      <w:r>
        <w:rPr>
          <w:rFonts w:ascii="Arial" w:hAnsi="Arial" w:cs="Arial"/>
        </w:rPr>
        <w:t xml:space="preserve"> (2do medio) se obtiene que hay una total ausencia de contenidos orientados al reconocimiento de la identidad de género y la orientación sexual. “</w:t>
      </w:r>
      <w:r w:rsidRPr="00EF2024">
        <w:rPr>
          <w:rFonts w:ascii="Arial" w:hAnsi="Arial" w:cs="Arial"/>
        </w:rPr>
        <w:t>Sin que sea explícito, se presenta a la pareja humana</w:t>
      </w:r>
      <w:r>
        <w:rPr>
          <w:rFonts w:ascii="Arial" w:hAnsi="Arial" w:cs="Arial"/>
        </w:rPr>
        <w:t xml:space="preserve"> </w:t>
      </w:r>
      <w:r w:rsidRPr="00EF2024">
        <w:rPr>
          <w:rFonts w:ascii="Arial" w:hAnsi="Arial" w:cs="Arial"/>
        </w:rPr>
        <w:t>como una configuración preestablecida que, en la racionalidad común,</w:t>
      </w:r>
      <w:r>
        <w:rPr>
          <w:rFonts w:ascii="Arial" w:hAnsi="Arial" w:cs="Arial"/>
        </w:rPr>
        <w:t xml:space="preserve"> </w:t>
      </w:r>
      <w:r w:rsidRPr="00EF2024">
        <w:rPr>
          <w:rFonts w:ascii="Arial" w:hAnsi="Arial" w:cs="Arial"/>
        </w:rPr>
        <w:t>corresponde a la de una pareja heterosexual. Pero claramente no hay</w:t>
      </w:r>
      <w:r>
        <w:rPr>
          <w:rFonts w:ascii="Arial" w:hAnsi="Arial" w:cs="Arial"/>
        </w:rPr>
        <w:t xml:space="preserve"> </w:t>
      </w:r>
      <w:r w:rsidRPr="00EF2024">
        <w:rPr>
          <w:rFonts w:ascii="Arial" w:hAnsi="Arial" w:cs="Arial"/>
        </w:rPr>
        <w:t>una respuesta educativa para abordar diferentes identidades sexuales,</w:t>
      </w:r>
      <w:r>
        <w:rPr>
          <w:rFonts w:ascii="Arial" w:hAnsi="Arial" w:cs="Arial"/>
        </w:rPr>
        <w:t xml:space="preserve"> </w:t>
      </w:r>
      <w:r w:rsidRPr="00EF2024">
        <w:rPr>
          <w:rFonts w:ascii="Arial" w:hAnsi="Arial" w:cs="Arial"/>
        </w:rPr>
        <w:t>es decir, la diversidad sexual vuelve a ser omitida</w:t>
      </w:r>
      <w:r>
        <w:rPr>
          <w:rFonts w:ascii="Arial" w:hAnsi="Arial" w:cs="Arial"/>
        </w:rPr>
        <w:t>”</w:t>
      </w:r>
      <w:r>
        <w:rPr>
          <w:rStyle w:val="Refdenotaalpie"/>
          <w:rFonts w:ascii="Arial" w:hAnsi="Arial" w:cs="Arial"/>
        </w:rPr>
        <w:footnoteReference w:id="1"/>
      </w:r>
      <w:r w:rsidRPr="00EF2024">
        <w:rPr>
          <w:rFonts w:ascii="Arial" w:hAnsi="Arial" w:cs="Arial"/>
        </w:rPr>
        <w:t>.</w:t>
      </w:r>
      <w:r>
        <w:rPr>
          <w:rFonts w:ascii="Arial" w:hAnsi="Arial" w:cs="Arial"/>
        </w:rPr>
        <w:t xml:space="preserve"> En Orientación, en tanto, no se especifican propuestas pedagógicas concretas relacionadas con la diversidad sexual. </w:t>
      </w:r>
      <w:r w:rsidRPr="00EF2024">
        <w:rPr>
          <w:rFonts w:ascii="Arial" w:hAnsi="Arial" w:cs="Arial"/>
        </w:rPr>
        <w:t>Queda en evidencia, entonces, un vacío</w:t>
      </w:r>
      <w:r>
        <w:rPr>
          <w:rFonts w:ascii="Arial" w:hAnsi="Arial" w:cs="Arial"/>
        </w:rPr>
        <w:t xml:space="preserve"> </w:t>
      </w:r>
      <w:r w:rsidRPr="00EF2024">
        <w:rPr>
          <w:rFonts w:ascii="Arial" w:hAnsi="Arial" w:cs="Arial"/>
        </w:rPr>
        <w:t>importante en un programa que, por su naturaleza y sentido, debiera</w:t>
      </w:r>
      <w:r>
        <w:rPr>
          <w:rFonts w:ascii="Arial" w:hAnsi="Arial" w:cs="Arial"/>
        </w:rPr>
        <w:t xml:space="preserve"> </w:t>
      </w:r>
      <w:r w:rsidRPr="00EF2024">
        <w:rPr>
          <w:rFonts w:ascii="Arial" w:hAnsi="Arial" w:cs="Arial"/>
        </w:rPr>
        <w:t>profundizar en el ámbito de la diversidad sexual</w:t>
      </w:r>
      <w:r w:rsidR="00C83E0D">
        <w:rPr>
          <w:rFonts w:ascii="Arial" w:hAnsi="Arial" w:cs="Arial"/>
        </w:rPr>
        <w:t>.</w:t>
      </w:r>
    </w:p>
    <w:p w:rsidR="00C83E0D" w:rsidRDefault="00C83E0D" w:rsidP="00C83E0D">
      <w:pPr>
        <w:spacing w:after="0" w:line="360" w:lineRule="auto"/>
        <w:ind w:firstLine="708"/>
        <w:jc w:val="both"/>
        <w:rPr>
          <w:rFonts w:ascii="Arial" w:hAnsi="Arial" w:cs="Arial"/>
        </w:rPr>
      </w:pPr>
      <w:r>
        <w:rPr>
          <w:rFonts w:ascii="Arial" w:hAnsi="Arial" w:cs="Arial"/>
        </w:rPr>
        <w:lastRenderedPageBreak/>
        <w:t>En el material complementario q</w:t>
      </w:r>
      <w:r w:rsidRPr="00C83E0D">
        <w:rPr>
          <w:rFonts w:ascii="Arial" w:hAnsi="Arial" w:cs="Arial"/>
        </w:rPr>
        <w:t>ueda en evidencia</w:t>
      </w:r>
      <w:r>
        <w:rPr>
          <w:rFonts w:ascii="Arial" w:hAnsi="Arial" w:cs="Arial"/>
        </w:rPr>
        <w:t xml:space="preserve"> un</w:t>
      </w:r>
      <w:r w:rsidRPr="00C83E0D">
        <w:rPr>
          <w:rFonts w:ascii="Arial" w:hAnsi="Arial" w:cs="Arial"/>
        </w:rPr>
        <w:t xml:space="preserve"> vacío</w:t>
      </w:r>
      <w:r>
        <w:rPr>
          <w:rFonts w:ascii="Arial" w:hAnsi="Arial" w:cs="Arial"/>
        </w:rPr>
        <w:t xml:space="preserve"> </w:t>
      </w:r>
      <w:r w:rsidRPr="00C83E0D">
        <w:rPr>
          <w:rFonts w:ascii="Arial" w:hAnsi="Arial" w:cs="Arial"/>
        </w:rPr>
        <w:t>importante en un programa que, por su naturaleza y sentido, debiera</w:t>
      </w:r>
      <w:r>
        <w:rPr>
          <w:rFonts w:ascii="Arial" w:hAnsi="Arial" w:cs="Arial"/>
        </w:rPr>
        <w:t xml:space="preserve"> </w:t>
      </w:r>
      <w:r w:rsidRPr="00C83E0D">
        <w:rPr>
          <w:rFonts w:ascii="Arial" w:hAnsi="Arial" w:cs="Arial"/>
        </w:rPr>
        <w:t>profundizar en el ámbito de la diversidad sexual</w:t>
      </w:r>
      <w:r>
        <w:rPr>
          <w:rFonts w:ascii="Arial" w:hAnsi="Arial" w:cs="Arial"/>
        </w:rPr>
        <w:t>.</w:t>
      </w:r>
      <w:r w:rsidR="009E5C37">
        <w:rPr>
          <w:rFonts w:ascii="Arial" w:hAnsi="Arial" w:cs="Arial"/>
        </w:rPr>
        <w:t xml:space="preserve"> En el sitio de Convivencia Escolar, hay diversos documentos de apoyo en que se contempla la diversidad sexual en la </w:t>
      </w:r>
      <w:r w:rsidR="00EA1D31">
        <w:rPr>
          <w:rFonts w:ascii="Arial" w:hAnsi="Arial" w:cs="Arial"/>
        </w:rPr>
        <w:t>escuela</w:t>
      </w:r>
      <w:r w:rsidR="00EA1D31">
        <w:rPr>
          <w:rStyle w:val="Refdenotaalpie"/>
          <w:rFonts w:ascii="Arial" w:hAnsi="Arial" w:cs="Arial"/>
        </w:rPr>
        <w:footnoteReference w:id="2"/>
      </w:r>
      <w:r w:rsidR="00EA1D31">
        <w:rPr>
          <w:rFonts w:ascii="Arial" w:hAnsi="Arial" w:cs="Arial"/>
        </w:rPr>
        <w:t xml:space="preserve">. </w:t>
      </w:r>
    </w:p>
    <w:p w:rsidR="00EA1D31" w:rsidRDefault="0089384B" w:rsidP="00C83E0D">
      <w:pPr>
        <w:spacing w:after="0" w:line="360" w:lineRule="auto"/>
        <w:ind w:firstLine="708"/>
        <w:jc w:val="both"/>
        <w:rPr>
          <w:rFonts w:ascii="Arial" w:hAnsi="Arial" w:cs="Arial"/>
        </w:rPr>
      </w:pPr>
      <w:r>
        <w:rPr>
          <w:rFonts w:ascii="Arial" w:hAnsi="Arial" w:cs="Arial"/>
        </w:rPr>
        <w:t xml:space="preserve">En el sitio Currículum Nacional, hay dos documentos disponibles. En ninguno se incluyen fuentes ni referencias a los movimientos de diversidad sexual, aun cuando varias organizaciones disponen de materiales de apoyo educativo. En este mismo sitio, se </w:t>
      </w:r>
      <w:r w:rsidR="00271B4D">
        <w:rPr>
          <w:rFonts w:ascii="Arial" w:hAnsi="Arial" w:cs="Arial"/>
        </w:rPr>
        <w:t>dispone</w:t>
      </w:r>
      <w:r>
        <w:rPr>
          <w:rFonts w:ascii="Arial" w:hAnsi="Arial" w:cs="Arial"/>
        </w:rPr>
        <w:t xml:space="preserve"> información acerca de diversas Asistencias Técnicas Educativas ATE). </w:t>
      </w:r>
      <w:r w:rsidR="00271B4D">
        <w:rPr>
          <w:rFonts w:ascii="Arial" w:hAnsi="Arial" w:cs="Arial"/>
        </w:rPr>
        <w:t>Se utilizan por la autora 6 palabras clave para buscar asistencia: sexualidad, sexual, afectividad, género prevención y abuso. En base a esta búsqueda se hace un análisis, que se enfoca en las palabras “sexualidad” y “género”.</w:t>
      </w:r>
    </w:p>
    <w:p w:rsidR="00271B4D" w:rsidRDefault="00271B4D" w:rsidP="00271B4D">
      <w:pPr>
        <w:spacing w:after="0" w:line="360" w:lineRule="auto"/>
        <w:ind w:firstLine="708"/>
        <w:jc w:val="both"/>
        <w:rPr>
          <w:rFonts w:ascii="Arial" w:hAnsi="Arial" w:cs="Arial"/>
        </w:rPr>
      </w:pPr>
      <w:r>
        <w:rPr>
          <w:rFonts w:ascii="Arial" w:hAnsi="Arial" w:cs="Arial"/>
        </w:rPr>
        <w:t>Del estudio de lo que arroja la búsqueda utilizando “sexualidad”, se tiene que “</w:t>
      </w:r>
      <w:r w:rsidRPr="00271B4D">
        <w:rPr>
          <w:rFonts w:ascii="Arial" w:hAnsi="Arial" w:cs="Arial"/>
        </w:rPr>
        <w:t>de un total de 313 programas</w:t>
      </w:r>
      <w:r>
        <w:rPr>
          <w:rFonts w:ascii="Arial" w:hAnsi="Arial" w:cs="Arial"/>
        </w:rPr>
        <w:t xml:space="preserve"> </w:t>
      </w:r>
      <w:r w:rsidRPr="00271B4D">
        <w:rPr>
          <w:rFonts w:ascii="Arial" w:hAnsi="Arial" w:cs="Arial"/>
        </w:rPr>
        <w:t>ofrecidos por 28 ATE, 21 de ellos se refieren a temáticas de afectividad,</w:t>
      </w:r>
      <w:r>
        <w:rPr>
          <w:rFonts w:ascii="Arial" w:hAnsi="Arial" w:cs="Arial"/>
        </w:rPr>
        <w:t xml:space="preserve"> </w:t>
      </w:r>
      <w:r w:rsidRPr="00271B4D">
        <w:rPr>
          <w:rFonts w:ascii="Arial" w:hAnsi="Arial" w:cs="Arial"/>
        </w:rPr>
        <w:t>sexualidad o género y cinco cuentan con la presencia explícita</w:t>
      </w:r>
      <w:r>
        <w:rPr>
          <w:rFonts w:ascii="Arial" w:hAnsi="Arial" w:cs="Arial"/>
        </w:rPr>
        <w:t xml:space="preserve"> </w:t>
      </w:r>
      <w:r w:rsidRPr="00271B4D">
        <w:rPr>
          <w:rFonts w:ascii="Arial" w:hAnsi="Arial" w:cs="Arial"/>
        </w:rPr>
        <w:t>de contenidos relativos a diversidad sexual, lo que equivale a un 1,6%</w:t>
      </w:r>
      <w:r>
        <w:rPr>
          <w:rFonts w:ascii="Arial" w:hAnsi="Arial" w:cs="Arial"/>
        </w:rPr>
        <w:t xml:space="preserve"> </w:t>
      </w:r>
      <w:r w:rsidRPr="00271B4D">
        <w:rPr>
          <w:rFonts w:ascii="Arial" w:hAnsi="Arial" w:cs="Arial"/>
        </w:rPr>
        <w:t>de la cantidad total de programas ofrecidos. Además, dos de ellos presentan</w:t>
      </w:r>
      <w:r>
        <w:rPr>
          <w:rFonts w:ascii="Arial" w:hAnsi="Arial" w:cs="Arial"/>
        </w:rPr>
        <w:t xml:space="preserve"> </w:t>
      </w:r>
      <w:r w:rsidRPr="00271B4D">
        <w:rPr>
          <w:rFonts w:ascii="Arial" w:hAnsi="Arial" w:cs="Arial"/>
        </w:rPr>
        <w:t>co</w:t>
      </w:r>
      <w:r w:rsidR="00201B2B">
        <w:rPr>
          <w:rFonts w:ascii="Arial" w:hAnsi="Arial" w:cs="Arial"/>
        </w:rPr>
        <w:t xml:space="preserve">ntenidos cercanos a la temática”. </w:t>
      </w:r>
    </w:p>
    <w:p w:rsidR="00201B2B" w:rsidRDefault="00201B2B" w:rsidP="00201B2B">
      <w:pPr>
        <w:spacing w:after="0" w:line="360" w:lineRule="auto"/>
        <w:ind w:firstLine="708"/>
        <w:jc w:val="both"/>
        <w:rPr>
          <w:rFonts w:ascii="Arial" w:hAnsi="Arial" w:cs="Arial"/>
        </w:rPr>
      </w:pPr>
      <w:r>
        <w:rPr>
          <w:rFonts w:ascii="Arial" w:hAnsi="Arial" w:cs="Arial"/>
        </w:rPr>
        <w:t>Del estudio de lo que arroja la búsqueda utilizando “género”, se tiene que “</w:t>
      </w:r>
      <w:r w:rsidRPr="00201B2B">
        <w:rPr>
          <w:rFonts w:ascii="Arial" w:hAnsi="Arial" w:cs="Arial"/>
        </w:rPr>
        <w:t>3, de 206 programas ofrecidos por 17</w:t>
      </w:r>
      <w:r>
        <w:rPr>
          <w:rFonts w:ascii="Arial" w:hAnsi="Arial" w:cs="Arial"/>
        </w:rPr>
        <w:t xml:space="preserve"> </w:t>
      </w:r>
      <w:r w:rsidRPr="00201B2B">
        <w:rPr>
          <w:rFonts w:ascii="Arial" w:hAnsi="Arial" w:cs="Arial"/>
        </w:rPr>
        <w:t>ATE, ocho se refieren a temáticas de sexualidad, afectividad o género,</w:t>
      </w:r>
      <w:r>
        <w:rPr>
          <w:rFonts w:ascii="Arial" w:hAnsi="Arial" w:cs="Arial"/>
        </w:rPr>
        <w:t xml:space="preserve"> </w:t>
      </w:r>
      <w:r w:rsidRPr="00201B2B">
        <w:rPr>
          <w:rFonts w:ascii="Arial" w:hAnsi="Arial" w:cs="Arial"/>
        </w:rPr>
        <w:t>solo dos poseen contenidos explícitos sobre diversidad sexual y uno</w:t>
      </w:r>
      <w:r>
        <w:rPr>
          <w:rFonts w:ascii="Arial" w:hAnsi="Arial" w:cs="Arial"/>
        </w:rPr>
        <w:t xml:space="preserve"> </w:t>
      </w:r>
      <w:r w:rsidRPr="00201B2B">
        <w:rPr>
          <w:rFonts w:ascii="Arial" w:hAnsi="Arial" w:cs="Arial"/>
        </w:rPr>
        <w:t>tiene contenidos cercanos a la temática, lo que equivale a un 1,5% del</w:t>
      </w:r>
      <w:r>
        <w:rPr>
          <w:rFonts w:ascii="Arial" w:hAnsi="Arial" w:cs="Arial"/>
        </w:rPr>
        <w:t xml:space="preserve"> </w:t>
      </w:r>
      <w:r w:rsidRPr="00201B2B">
        <w:rPr>
          <w:rFonts w:ascii="Arial" w:hAnsi="Arial" w:cs="Arial"/>
        </w:rPr>
        <w:t>total de programas ofrecidos</w:t>
      </w:r>
      <w:r>
        <w:rPr>
          <w:rFonts w:ascii="Arial" w:hAnsi="Arial" w:cs="Arial"/>
        </w:rPr>
        <w:t>”</w:t>
      </w:r>
      <w:r w:rsidRPr="00201B2B">
        <w:rPr>
          <w:rFonts w:ascii="Arial" w:hAnsi="Arial" w:cs="Arial"/>
        </w:rPr>
        <w:t>.</w:t>
      </w:r>
    </w:p>
    <w:p w:rsidR="00BE7D67" w:rsidRDefault="00BE7D67" w:rsidP="00BE7D67">
      <w:pPr>
        <w:spacing w:after="0" w:line="360" w:lineRule="auto"/>
        <w:ind w:firstLine="708"/>
        <w:jc w:val="both"/>
        <w:rPr>
          <w:rFonts w:ascii="Arial" w:hAnsi="Arial" w:cs="Arial"/>
        </w:rPr>
      </w:pPr>
      <w:r w:rsidRPr="00BE7D67">
        <w:rPr>
          <w:rFonts w:ascii="Arial" w:hAnsi="Arial" w:cs="Arial"/>
        </w:rPr>
        <w:t>Se</w:t>
      </w:r>
      <w:r>
        <w:rPr>
          <w:rFonts w:ascii="Arial" w:hAnsi="Arial" w:cs="Arial"/>
        </w:rPr>
        <w:t xml:space="preserve"> </w:t>
      </w:r>
      <w:r w:rsidRPr="00BE7D67">
        <w:rPr>
          <w:rFonts w:ascii="Arial" w:hAnsi="Arial" w:cs="Arial"/>
        </w:rPr>
        <w:t>considera de suma importancia que esta información sea presentada</w:t>
      </w:r>
      <w:r>
        <w:rPr>
          <w:rFonts w:ascii="Arial" w:hAnsi="Arial" w:cs="Arial"/>
        </w:rPr>
        <w:t xml:space="preserve"> </w:t>
      </w:r>
      <w:r w:rsidRPr="00BE7D67">
        <w:rPr>
          <w:rFonts w:ascii="Arial" w:hAnsi="Arial" w:cs="Arial"/>
        </w:rPr>
        <w:t>de una forma más accesible y que quede claro el enfoque que sustenta</w:t>
      </w:r>
      <w:r>
        <w:rPr>
          <w:rFonts w:ascii="Arial" w:hAnsi="Arial" w:cs="Arial"/>
        </w:rPr>
        <w:t xml:space="preserve"> </w:t>
      </w:r>
      <w:r w:rsidRPr="00BE7D67">
        <w:rPr>
          <w:rFonts w:ascii="Arial" w:hAnsi="Arial" w:cs="Arial"/>
        </w:rPr>
        <w:t>cada programa. La formación continua de profesores en esta materia,</w:t>
      </w:r>
      <w:r>
        <w:rPr>
          <w:rFonts w:ascii="Arial" w:hAnsi="Arial" w:cs="Arial"/>
        </w:rPr>
        <w:t xml:space="preserve"> </w:t>
      </w:r>
      <w:r w:rsidRPr="00BE7D67">
        <w:rPr>
          <w:rFonts w:ascii="Arial" w:hAnsi="Arial" w:cs="Arial"/>
        </w:rPr>
        <w:t>es necesaria y oportuna para asumir los cambios en una sociedad cada</w:t>
      </w:r>
      <w:r>
        <w:rPr>
          <w:rFonts w:ascii="Arial" w:hAnsi="Arial" w:cs="Arial"/>
        </w:rPr>
        <w:t xml:space="preserve"> </w:t>
      </w:r>
      <w:r w:rsidRPr="00BE7D67">
        <w:rPr>
          <w:rFonts w:ascii="Arial" w:hAnsi="Arial" w:cs="Arial"/>
        </w:rPr>
        <w:t>vez más abierta a su propia diversidad.</w:t>
      </w:r>
    </w:p>
    <w:p w:rsidR="007E427B" w:rsidRDefault="007E427B" w:rsidP="00BE7D67">
      <w:pPr>
        <w:spacing w:after="0" w:line="360" w:lineRule="auto"/>
        <w:ind w:firstLine="708"/>
        <w:jc w:val="both"/>
        <w:rPr>
          <w:rFonts w:ascii="Arial" w:hAnsi="Arial" w:cs="Arial"/>
        </w:rPr>
      </w:pPr>
    </w:p>
    <w:p w:rsidR="007E427B" w:rsidRDefault="007E427B" w:rsidP="00BE7D67">
      <w:pPr>
        <w:spacing w:after="0" w:line="360" w:lineRule="auto"/>
        <w:ind w:firstLine="708"/>
        <w:jc w:val="both"/>
        <w:rPr>
          <w:rFonts w:ascii="Arial" w:hAnsi="Arial" w:cs="Arial"/>
        </w:rPr>
      </w:pPr>
      <w:r>
        <w:rPr>
          <w:rFonts w:ascii="Arial" w:hAnsi="Arial" w:cs="Arial"/>
        </w:rPr>
        <w:t xml:space="preserve">Al analizar estándares de formación docente, se estudian los estándares  pedagógicos y los estándares disciplinares. </w:t>
      </w:r>
    </w:p>
    <w:p w:rsidR="007E427B" w:rsidRDefault="007E427B" w:rsidP="007E427B">
      <w:pPr>
        <w:spacing w:after="0" w:line="360" w:lineRule="auto"/>
        <w:ind w:firstLine="708"/>
        <w:jc w:val="both"/>
        <w:rPr>
          <w:rFonts w:ascii="Arial" w:hAnsi="Arial" w:cs="Arial"/>
        </w:rPr>
      </w:pPr>
      <w:r>
        <w:rPr>
          <w:rFonts w:ascii="Arial" w:hAnsi="Arial" w:cs="Arial"/>
        </w:rPr>
        <w:t xml:space="preserve">Respecto de los estándares pedagógicos </w:t>
      </w:r>
      <w:r w:rsidRPr="007E427B">
        <w:rPr>
          <w:rFonts w:ascii="Arial" w:hAnsi="Arial" w:cs="Arial"/>
        </w:rPr>
        <w:t>En Pedagogía</w:t>
      </w:r>
      <w:r>
        <w:rPr>
          <w:rFonts w:ascii="Arial" w:hAnsi="Arial" w:cs="Arial"/>
        </w:rPr>
        <w:t xml:space="preserve"> </w:t>
      </w:r>
      <w:r w:rsidRPr="007E427B">
        <w:rPr>
          <w:rFonts w:ascii="Arial" w:hAnsi="Arial" w:cs="Arial"/>
        </w:rPr>
        <w:t>Básica solo se considera la variable género y, en el caso de Pedagogía</w:t>
      </w:r>
      <w:r>
        <w:rPr>
          <w:rFonts w:ascii="Arial" w:hAnsi="Arial" w:cs="Arial"/>
        </w:rPr>
        <w:t xml:space="preserve"> </w:t>
      </w:r>
      <w:r w:rsidRPr="007E427B">
        <w:rPr>
          <w:rFonts w:ascii="Arial" w:hAnsi="Arial" w:cs="Arial"/>
        </w:rPr>
        <w:t>Media, se menciona la variable sexual, sin embargo, no se explicitan</w:t>
      </w:r>
      <w:r>
        <w:rPr>
          <w:rFonts w:ascii="Arial" w:hAnsi="Arial" w:cs="Arial"/>
        </w:rPr>
        <w:t xml:space="preserve"> </w:t>
      </w:r>
      <w:r w:rsidRPr="007E427B">
        <w:rPr>
          <w:rFonts w:ascii="Arial" w:hAnsi="Arial" w:cs="Arial"/>
        </w:rPr>
        <w:t>las nociones de orientación sexual ni de identidad de género.</w:t>
      </w:r>
    </w:p>
    <w:p w:rsidR="00163207" w:rsidRDefault="00163207" w:rsidP="007E427B">
      <w:pPr>
        <w:spacing w:after="0" w:line="360" w:lineRule="auto"/>
        <w:ind w:firstLine="708"/>
        <w:jc w:val="both"/>
        <w:rPr>
          <w:rFonts w:ascii="Arial" w:hAnsi="Arial" w:cs="Arial"/>
        </w:rPr>
      </w:pPr>
    </w:p>
    <w:p w:rsidR="00A5531A" w:rsidRDefault="00163207" w:rsidP="00A5531A">
      <w:pPr>
        <w:spacing w:after="0" w:line="360" w:lineRule="auto"/>
        <w:ind w:firstLine="708"/>
        <w:jc w:val="both"/>
        <w:rPr>
          <w:rFonts w:ascii="Arial" w:hAnsi="Arial" w:cs="Arial"/>
        </w:rPr>
      </w:pPr>
      <w:r>
        <w:rPr>
          <w:rFonts w:ascii="Arial" w:hAnsi="Arial" w:cs="Arial"/>
        </w:rPr>
        <w:t xml:space="preserve">En lo que dice relación con de los estándares disciplinares, </w:t>
      </w:r>
      <w:r w:rsidR="00A5531A">
        <w:rPr>
          <w:rFonts w:ascii="Arial" w:hAnsi="Arial" w:cs="Arial"/>
        </w:rPr>
        <w:t xml:space="preserve">para la carrera de Pedagogía Básica no se visibilizan contenidos relativos a la diversidad sexual. En los mismos estándares para </w:t>
      </w:r>
      <w:r w:rsidR="00A5531A">
        <w:rPr>
          <w:rFonts w:ascii="Arial" w:hAnsi="Arial" w:cs="Arial"/>
        </w:rPr>
        <w:lastRenderedPageBreak/>
        <w:t>Pedagogía Media</w:t>
      </w:r>
      <w:r w:rsidR="00A5531A">
        <w:rPr>
          <w:rStyle w:val="Refdenotaalpie"/>
          <w:rFonts w:ascii="Arial" w:hAnsi="Arial" w:cs="Arial"/>
        </w:rPr>
        <w:footnoteReference w:id="3"/>
      </w:r>
      <w:r w:rsidR="00A5531A">
        <w:rPr>
          <w:rFonts w:ascii="Arial" w:hAnsi="Arial" w:cs="Arial"/>
        </w:rPr>
        <w:t xml:space="preserve"> en los indicadores asociados, no </w:t>
      </w:r>
      <w:r w:rsidR="00A5531A" w:rsidRPr="00A5531A">
        <w:rPr>
          <w:rFonts w:ascii="Arial" w:hAnsi="Arial" w:cs="Arial"/>
        </w:rPr>
        <w:t>hay ninguno que se haga cargo de los aprendizajes que permitan a los</w:t>
      </w:r>
      <w:r w:rsidR="00A5531A">
        <w:rPr>
          <w:rFonts w:ascii="Arial" w:hAnsi="Arial" w:cs="Arial"/>
        </w:rPr>
        <w:t xml:space="preserve"> </w:t>
      </w:r>
      <w:r w:rsidR="00A5531A" w:rsidRPr="00A5531A">
        <w:rPr>
          <w:rFonts w:ascii="Arial" w:hAnsi="Arial" w:cs="Arial"/>
        </w:rPr>
        <w:t>y las docentes el desarrollo de espacios sanos y de protección para la</w:t>
      </w:r>
      <w:r w:rsidR="00A5531A">
        <w:rPr>
          <w:rFonts w:ascii="Arial" w:hAnsi="Arial" w:cs="Arial"/>
        </w:rPr>
        <w:t xml:space="preserve"> </w:t>
      </w:r>
      <w:r w:rsidR="00A5531A" w:rsidRPr="00A5531A">
        <w:rPr>
          <w:rFonts w:ascii="Arial" w:hAnsi="Arial" w:cs="Arial"/>
        </w:rPr>
        <w:t>comunidad de la diversidad sexual.</w:t>
      </w:r>
    </w:p>
    <w:p w:rsidR="00A5531A" w:rsidRPr="00A5531A" w:rsidRDefault="00A5531A" w:rsidP="00A5531A">
      <w:pPr>
        <w:spacing w:after="0" w:line="360" w:lineRule="auto"/>
        <w:ind w:firstLine="708"/>
        <w:jc w:val="both"/>
        <w:rPr>
          <w:rFonts w:ascii="Arial" w:hAnsi="Arial" w:cs="Arial"/>
        </w:rPr>
      </w:pPr>
      <w:r>
        <w:rPr>
          <w:rFonts w:ascii="Arial" w:hAnsi="Arial" w:cs="Arial"/>
        </w:rPr>
        <w:t xml:space="preserve">En Educación </w:t>
      </w:r>
      <w:proofErr w:type="spellStart"/>
      <w:r>
        <w:rPr>
          <w:rFonts w:ascii="Arial" w:hAnsi="Arial" w:cs="Arial"/>
        </w:rPr>
        <w:t>Parvularia</w:t>
      </w:r>
      <w:proofErr w:type="spellEnd"/>
      <w:r>
        <w:rPr>
          <w:rFonts w:ascii="Arial" w:hAnsi="Arial" w:cs="Arial"/>
        </w:rPr>
        <w:t xml:space="preserve">  tampoco incorporan de manera manifiesta contenidos de diversidad sexual, ya que no está expresamente citada la comunidad LGTBI como una preocupación real en la formación de nuevos docentes, aun cuando es sabido que los casos de transexualidad se manifiestan desde la edad prescolar. En la formación de docentes de Educación Diferencial, si bien su mayoría se expresa por una educación </w:t>
      </w:r>
      <w:r w:rsidRPr="00A5531A">
        <w:rPr>
          <w:rFonts w:ascii="Arial" w:hAnsi="Arial" w:cs="Arial"/>
        </w:rPr>
        <w:t>inclusiva, dada por la naturaleza de la acción de esta</w:t>
      </w:r>
      <w:r>
        <w:rPr>
          <w:rFonts w:ascii="Arial" w:hAnsi="Arial" w:cs="Arial"/>
        </w:rPr>
        <w:t xml:space="preserve"> </w:t>
      </w:r>
      <w:r w:rsidRPr="00A5531A">
        <w:rPr>
          <w:rFonts w:ascii="Arial" w:hAnsi="Arial" w:cs="Arial"/>
        </w:rPr>
        <w:t>disciplina, en ninguno de ellos, ni en sus descripciones e indicadores</w:t>
      </w:r>
      <w:r>
        <w:rPr>
          <w:rFonts w:ascii="Arial" w:hAnsi="Arial" w:cs="Arial"/>
        </w:rPr>
        <w:t xml:space="preserve"> </w:t>
      </w:r>
      <w:r w:rsidRPr="00A5531A">
        <w:rPr>
          <w:rFonts w:ascii="Arial" w:hAnsi="Arial" w:cs="Arial"/>
        </w:rPr>
        <w:t>asociados, se evidencia la presencia de contenidos referidos a diversidad</w:t>
      </w:r>
      <w:r>
        <w:rPr>
          <w:rFonts w:ascii="Arial" w:hAnsi="Arial" w:cs="Arial"/>
        </w:rPr>
        <w:t xml:space="preserve"> </w:t>
      </w:r>
      <w:r w:rsidRPr="00A5531A">
        <w:rPr>
          <w:rFonts w:ascii="Arial" w:hAnsi="Arial" w:cs="Arial"/>
        </w:rPr>
        <w:t>sexual.</w:t>
      </w:r>
    </w:p>
    <w:p w:rsidR="007E427B" w:rsidRDefault="00A5531A" w:rsidP="00A5531A">
      <w:pPr>
        <w:spacing w:after="0" w:line="360" w:lineRule="auto"/>
        <w:ind w:firstLine="708"/>
        <w:jc w:val="both"/>
        <w:rPr>
          <w:rFonts w:ascii="Arial" w:hAnsi="Arial" w:cs="Arial"/>
        </w:rPr>
      </w:pPr>
      <w:r w:rsidRPr="00A5531A">
        <w:rPr>
          <w:rFonts w:ascii="Arial" w:hAnsi="Arial" w:cs="Arial"/>
        </w:rPr>
        <w:t>En síntesis, la revisión de los estándares de formación inicial docente</w:t>
      </w:r>
      <w:r>
        <w:rPr>
          <w:rFonts w:ascii="Arial" w:hAnsi="Arial" w:cs="Arial"/>
        </w:rPr>
        <w:t xml:space="preserve"> </w:t>
      </w:r>
      <w:r w:rsidRPr="00A5531A">
        <w:rPr>
          <w:rFonts w:ascii="Arial" w:hAnsi="Arial" w:cs="Arial"/>
        </w:rPr>
        <w:t xml:space="preserve">–en Educación </w:t>
      </w:r>
      <w:proofErr w:type="spellStart"/>
      <w:r w:rsidRPr="00A5531A">
        <w:rPr>
          <w:rFonts w:ascii="Arial" w:hAnsi="Arial" w:cs="Arial"/>
        </w:rPr>
        <w:t>Parvularia</w:t>
      </w:r>
      <w:proofErr w:type="spellEnd"/>
      <w:r w:rsidRPr="00A5531A">
        <w:rPr>
          <w:rFonts w:ascii="Arial" w:hAnsi="Arial" w:cs="Arial"/>
        </w:rPr>
        <w:t>, Pedagogía Básica, Media y Educación</w:t>
      </w:r>
      <w:r>
        <w:rPr>
          <w:rFonts w:ascii="Arial" w:hAnsi="Arial" w:cs="Arial"/>
        </w:rPr>
        <w:t xml:space="preserve"> </w:t>
      </w:r>
      <w:r w:rsidRPr="00A5531A">
        <w:rPr>
          <w:rFonts w:ascii="Arial" w:hAnsi="Arial" w:cs="Arial"/>
        </w:rPr>
        <w:t>Diferencial– nos revela la invisibilidad de la diversidad sexual. Esta situación</w:t>
      </w:r>
      <w:r>
        <w:rPr>
          <w:rFonts w:ascii="Arial" w:hAnsi="Arial" w:cs="Arial"/>
        </w:rPr>
        <w:t xml:space="preserve"> </w:t>
      </w:r>
      <w:r w:rsidRPr="00A5531A">
        <w:rPr>
          <w:rFonts w:ascii="Arial" w:hAnsi="Arial" w:cs="Arial"/>
        </w:rPr>
        <w:t>es preocupante, ya que la escuela constituye el espacio propicio</w:t>
      </w:r>
      <w:r>
        <w:rPr>
          <w:rFonts w:ascii="Arial" w:hAnsi="Arial" w:cs="Arial"/>
        </w:rPr>
        <w:t xml:space="preserve"> </w:t>
      </w:r>
      <w:r w:rsidRPr="00A5531A">
        <w:rPr>
          <w:rFonts w:ascii="Arial" w:hAnsi="Arial" w:cs="Arial"/>
        </w:rPr>
        <w:t>para generar una transformación cultural orientada a la inclusión real</w:t>
      </w:r>
      <w:r>
        <w:rPr>
          <w:rFonts w:ascii="Arial" w:hAnsi="Arial" w:cs="Arial"/>
        </w:rPr>
        <w:t xml:space="preserve"> </w:t>
      </w:r>
      <w:r w:rsidRPr="00A5531A">
        <w:rPr>
          <w:rFonts w:ascii="Arial" w:hAnsi="Arial" w:cs="Arial"/>
        </w:rPr>
        <w:t>de la comunidad LGTBI, desafío en que las y los docentes tienen un</w:t>
      </w:r>
      <w:r>
        <w:rPr>
          <w:rFonts w:ascii="Arial" w:hAnsi="Arial" w:cs="Arial"/>
        </w:rPr>
        <w:t xml:space="preserve"> </w:t>
      </w:r>
      <w:r w:rsidRPr="00A5531A">
        <w:rPr>
          <w:rFonts w:ascii="Arial" w:hAnsi="Arial" w:cs="Arial"/>
        </w:rPr>
        <w:t>rol fundamental.</w:t>
      </w:r>
    </w:p>
    <w:p w:rsidR="00267E24" w:rsidRDefault="00267E24" w:rsidP="00A5531A">
      <w:pPr>
        <w:spacing w:after="0" w:line="360" w:lineRule="auto"/>
        <w:ind w:firstLine="708"/>
        <w:jc w:val="both"/>
        <w:rPr>
          <w:rFonts w:ascii="Arial" w:hAnsi="Arial" w:cs="Arial"/>
        </w:rPr>
      </w:pPr>
    </w:p>
    <w:p w:rsidR="00267E24" w:rsidRDefault="00267E24" w:rsidP="00A5531A">
      <w:pPr>
        <w:spacing w:after="0" w:line="360" w:lineRule="auto"/>
        <w:ind w:firstLine="708"/>
        <w:jc w:val="both"/>
        <w:rPr>
          <w:rFonts w:ascii="Arial" w:hAnsi="Arial" w:cs="Arial"/>
        </w:rPr>
      </w:pPr>
      <w:r>
        <w:rPr>
          <w:rFonts w:ascii="Arial" w:hAnsi="Arial" w:cs="Arial"/>
        </w:rPr>
        <w:t xml:space="preserve">En el siguiente apartado, se analizan casos de discriminación de estudiantes LGTBI entre 2014 y junio 2015. </w:t>
      </w:r>
    </w:p>
    <w:p w:rsidR="00267E24" w:rsidRDefault="00443780" w:rsidP="00443780">
      <w:pPr>
        <w:spacing w:after="0" w:line="360" w:lineRule="auto"/>
        <w:ind w:firstLine="708"/>
        <w:jc w:val="both"/>
        <w:rPr>
          <w:rFonts w:ascii="Arial" w:hAnsi="Arial" w:cs="Arial"/>
        </w:rPr>
      </w:pPr>
      <w:r w:rsidRPr="00443780">
        <w:rPr>
          <w:rFonts w:ascii="Arial" w:hAnsi="Arial" w:cs="Arial"/>
        </w:rPr>
        <w:t>De acuerdo a esta información, en 2014 se produjeron 19 denuncias de</w:t>
      </w:r>
      <w:r>
        <w:rPr>
          <w:rFonts w:ascii="Arial" w:hAnsi="Arial" w:cs="Arial"/>
        </w:rPr>
        <w:t xml:space="preserve"> </w:t>
      </w:r>
      <w:r w:rsidRPr="00443780">
        <w:rPr>
          <w:rFonts w:ascii="Arial" w:hAnsi="Arial" w:cs="Arial"/>
        </w:rPr>
        <w:t>discriminación por orientación sexual, y en 2015, hasta el mes de junio,</w:t>
      </w:r>
      <w:r>
        <w:rPr>
          <w:rFonts w:ascii="Arial" w:hAnsi="Arial" w:cs="Arial"/>
        </w:rPr>
        <w:t xml:space="preserve"> </w:t>
      </w:r>
      <w:r w:rsidRPr="00443780">
        <w:rPr>
          <w:rFonts w:ascii="Arial" w:hAnsi="Arial" w:cs="Arial"/>
        </w:rPr>
        <w:t>nueve. Respecto de las denuncias por comportamiento de connotación</w:t>
      </w:r>
      <w:r>
        <w:rPr>
          <w:rFonts w:ascii="Arial" w:hAnsi="Arial" w:cs="Arial"/>
        </w:rPr>
        <w:t xml:space="preserve"> </w:t>
      </w:r>
      <w:r w:rsidRPr="00443780">
        <w:rPr>
          <w:rFonts w:ascii="Arial" w:hAnsi="Arial" w:cs="Arial"/>
        </w:rPr>
        <w:t>sexual que no constituye agresión, en 2014 hay 117 denuncias y hasta</w:t>
      </w:r>
      <w:r>
        <w:rPr>
          <w:rFonts w:ascii="Arial" w:hAnsi="Arial" w:cs="Arial"/>
        </w:rPr>
        <w:t xml:space="preserve"> </w:t>
      </w:r>
      <w:r w:rsidRPr="00443780">
        <w:rPr>
          <w:rFonts w:ascii="Arial" w:hAnsi="Arial" w:cs="Arial"/>
        </w:rPr>
        <w:t>junio de 2015 se contabilizan 43.</w:t>
      </w:r>
    </w:p>
    <w:p w:rsidR="00443780" w:rsidRDefault="00443780" w:rsidP="00443780">
      <w:pPr>
        <w:spacing w:after="0" w:line="360" w:lineRule="auto"/>
        <w:ind w:firstLine="708"/>
        <w:jc w:val="both"/>
        <w:rPr>
          <w:rFonts w:ascii="Arial" w:hAnsi="Arial" w:cs="Arial"/>
        </w:rPr>
      </w:pPr>
      <w:r>
        <w:rPr>
          <w:rFonts w:ascii="Arial" w:hAnsi="Arial" w:cs="Arial"/>
        </w:rPr>
        <w:t xml:space="preserve">Se hace un relato de la situación de Andy. </w:t>
      </w:r>
    </w:p>
    <w:p w:rsidR="00443780" w:rsidRDefault="00443780" w:rsidP="00443780">
      <w:pPr>
        <w:spacing w:after="0" w:line="360" w:lineRule="auto"/>
        <w:ind w:firstLine="708"/>
        <w:jc w:val="both"/>
        <w:rPr>
          <w:rFonts w:ascii="Arial" w:hAnsi="Arial" w:cs="Arial"/>
        </w:rPr>
      </w:pPr>
    </w:p>
    <w:p w:rsidR="00443780" w:rsidRPr="00115529" w:rsidRDefault="00443780" w:rsidP="00443780">
      <w:pPr>
        <w:spacing w:after="0" w:line="360" w:lineRule="auto"/>
        <w:ind w:firstLine="708"/>
        <w:jc w:val="both"/>
        <w:rPr>
          <w:rFonts w:ascii="Arial" w:hAnsi="Arial" w:cs="Arial"/>
          <w:b/>
        </w:rPr>
      </w:pPr>
      <w:r w:rsidRPr="00115529">
        <w:rPr>
          <w:rFonts w:ascii="Arial" w:hAnsi="Arial" w:cs="Arial"/>
          <w:b/>
        </w:rPr>
        <w:t>CONCLUSIONES</w:t>
      </w:r>
      <w:r w:rsidR="002C2E14">
        <w:rPr>
          <w:rStyle w:val="Refdenotaalpie"/>
          <w:rFonts w:ascii="Arial" w:hAnsi="Arial" w:cs="Arial"/>
          <w:b/>
        </w:rPr>
        <w:footnoteReference w:id="4"/>
      </w:r>
    </w:p>
    <w:p w:rsidR="00443780" w:rsidRPr="00443780" w:rsidRDefault="00443780" w:rsidP="00443780">
      <w:pPr>
        <w:spacing w:after="0" w:line="360" w:lineRule="auto"/>
        <w:ind w:firstLine="708"/>
        <w:jc w:val="both"/>
        <w:rPr>
          <w:rFonts w:ascii="Arial" w:hAnsi="Arial" w:cs="Arial"/>
        </w:rPr>
      </w:pPr>
      <w:r w:rsidRPr="00443780">
        <w:rPr>
          <w:rFonts w:ascii="Arial" w:hAnsi="Arial" w:cs="Arial"/>
        </w:rPr>
        <w:t>1. Chile no cuenta con una legislación educativa que haga efectivo</w:t>
      </w:r>
      <w:r>
        <w:rPr>
          <w:rFonts w:ascii="Arial" w:hAnsi="Arial" w:cs="Arial"/>
        </w:rPr>
        <w:t xml:space="preserve"> </w:t>
      </w:r>
      <w:r w:rsidRPr="00443780">
        <w:rPr>
          <w:rFonts w:ascii="Arial" w:hAnsi="Arial" w:cs="Arial"/>
        </w:rPr>
        <w:t>el pleno derecho a una educación sin discriminación para los</w:t>
      </w:r>
      <w:r>
        <w:rPr>
          <w:rFonts w:ascii="Arial" w:hAnsi="Arial" w:cs="Arial"/>
        </w:rPr>
        <w:t xml:space="preserve"> </w:t>
      </w:r>
      <w:r w:rsidRPr="00443780">
        <w:rPr>
          <w:rFonts w:ascii="Arial" w:hAnsi="Arial" w:cs="Arial"/>
        </w:rPr>
        <w:t>y las estudiantes de la comunidad LGTBI. La Ley 20.845, de</w:t>
      </w:r>
      <w:r>
        <w:rPr>
          <w:rFonts w:ascii="Arial" w:hAnsi="Arial" w:cs="Arial"/>
        </w:rPr>
        <w:t xml:space="preserve"> </w:t>
      </w:r>
      <w:r w:rsidRPr="00443780">
        <w:rPr>
          <w:rFonts w:ascii="Arial" w:hAnsi="Arial" w:cs="Arial"/>
        </w:rPr>
        <w:t>inclusión escolar –que regula la admisión de los y las estudiantes,</w:t>
      </w:r>
      <w:r>
        <w:rPr>
          <w:rFonts w:ascii="Arial" w:hAnsi="Arial" w:cs="Arial"/>
        </w:rPr>
        <w:t xml:space="preserve"> </w:t>
      </w:r>
      <w:r w:rsidRPr="00443780">
        <w:rPr>
          <w:rFonts w:ascii="Arial" w:hAnsi="Arial" w:cs="Arial"/>
        </w:rPr>
        <w:t xml:space="preserve">elimina el financiamiento compartido y prohíbe el lucro </w:t>
      </w:r>
      <w:r w:rsidR="001F566C">
        <w:rPr>
          <w:rFonts w:ascii="Arial" w:hAnsi="Arial" w:cs="Arial"/>
        </w:rPr>
        <w:t xml:space="preserve"> </w:t>
      </w:r>
      <w:r w:rsidRPr="00443780">
        <w:rPr>
          <w:rFonts w:ascii="Arial" w:hAnsi="Arial" w:cs="Arial"/>
        </w:rPr>
        <w:t>establecimientos educacionales que reciben aportes del Estado–</w:t>
      </w:r>
      <w:r w:rsidR="001F566C">
        <w:rPr>
          <w:rFonts w:ascii="Arial" w:hAnsi="Arial" w:cs="Arial"/>
        </w:rPr>
        <w:t xml:space="preserve"> </w:t>
      </w:r>
      <w:r w:rsidRPr="00443780">
        <w:rPr>
          <w:rFonts w:ascii="Arial" w:hAnsi="Arial" w:cs="Arial"/>
        </w:rPr>
        <w:t>considera el principio de libertad de enseñanza por sobre el derecho</w:t>
      </w:r>
      <w:r w:rsidR="001F566C">
        <w:rPr>
          <w:rFonts w:ascii="Arial" w:hAnsi="Arial" w:cs="Arial"/>
        </w:rPr>
        <w:t xml:space="preserve"> </w:t>
      </w:r>
      <w:r w:rsidRPr="00443780">
        <w:rPr>
          <w:rFonts w:ascii="Arial" w:hAnsi="Arial" w:cs="Arial"/>
        </w:rPr>
        <w:t>a la educación. Si bien se puede invocar la ley Zamudio en</w:t>
      </w:r>
      <w:r w:rsidR="001F566C">
        <w:rPr>
          <w:rFonts w:ascii="Arial" w:hAnsi="Arial" w:cs="Arial"/>
        </w:rPr>
        <w:t xml:space="preserve"> </w:t>
      </w:r>
      <w:r w:rsidRPr="00443780">
        <w:rPr>
          <w:rFonts w:ascii="Arial" w:hAnsi="Arial" w:cs="Arial"/>
        </w:rPr>
        <w:t>caso de discriminación, los sostenedores pueden apelar en base</w:t>
      </w:r>
      <w:r w:rsidR="001F566C">
        <w:rPr>
          <w:rFonts w:ascii="Arial" w:hAnsi="Arial" w:cs="Arial"/>
        </w:rPr>
        <w:t xml:space="preserve"> </w:t>
      </w:r>
      <w:r w:rsidRPr="00443780">
        <w:rPr>
          <w:rFonts w:ascii="Arial" w:hAnsi="Arial" w:cs="Arial"/>
        </w:rPr>
        <w:t>al principio de la libertad de enseñanza. Esta situación se agrava</w:t>
      </w:r>
      <w:r w:rsidR="001F566C">
        <w:rPr>
          <w:rFonts w:ascii="Arial" w:hAnsi="Arial" w:cs="Arial"/>
        </w:rPr>
        <w:t xml:space="preserve"> </w:t>
      </w:r>
      <w:r w:rsidRPr="00443780">
        <w:rPr>
          <w:rFonts w:ascii="Arial" w:hAnsi="Arial" w:cs="Arial"/>
        </w:rPr>
        <w:t>al constatar que, en la práctica, la ley Zamudio ha carecido de</w:t>
      </w:r>
      <w:r w:rsidR="001F566C">
        <w:rPr>
          <w:rFonts w:ascii="Arial" w:hAnsi="Arial" w:cs="Arial"/>
        </w:rPr>
        <w:t xml:space="preserve"> </w:t>
      </w:r>
      <w:r w:rsidRPr="00443780">
        <w:rPr>
          <w:rFonts w:ascii="Arial" w:hAnsi="Arial" w:cs="Arial"/>
        </w:rPr>
        <w:lastRenderedPageBreak/>
        <w:t>eficacia para enfrentar casos de discriminación en la escuela y</w:t>
      </w:r>
      <w:r w:rsidR="001F566C">
        <w:rPr>
          <w:rFonts w:ascii="Arial" w:hAnsi="Arial" w:cs="Arial"/>
        </w:rPr>
        <w:t xml:space="preserve"> </w:t>
      </w:r>
      <w:r w:rsidRPr="00443780">
        <w:rPr>
          <w:rFonts w:ascii="Arial" w:hAnsi="Arial" w:cs="Arial"/>
        </w:rPr>
        <w:t>tampoco ha respondido de manera estructural al problema de la</w:t>
      </w:r>
      <w:r w:rsidR="001F566C">
        <w:rPr>
          <w:rFonts w:ascii="Arial" w:hAnsi="Arial" w:cs="Arial"/>
        </w:rPr>
        <w:t xml:space="preserve"> </w:t>
      </w:r>
      <w:r w:rsidRPr="00443780">
        <w:rPr>
          <w:rFonts w:ascii="Arial" w:hAnsi="Arial" w:cs="Arial"/>
        </w:rPr>
        <w:t>discriminación de personas LGTBI en la sociedad. En base a lo</w:t>
      </w:r>
      <w:r w:rsidR="001F566C">
        <w:rPr>
          <w:rFonts w:ascii="Arial" w:hAnsi="Arial" w:cs="Arial"/>
        </w:rPr>
        <w:t xml:space="preserve"> </w:t>
      </w:r>
      <w:r w:rsidRPr="00443780">
        <w:rPr>
          <w:rFonts w:ascii="Arial" w:hAnsi="Arial" w:cs="Arial"/>
        </w:rPr>
        <w:t>anterior, se sostiene que Chile está por debajo de los estándares</w:t>
      </w:r>
      <w:r w:rsidR="001F566C">
        <w:rPr>
          <w:rFonts w:ascii="Arial" w:hAnsi="Arial" w:cs="Arial"/>
        </w:rPr>
        <w:t xml:space="preserve"> </w:t>
      </w:r>
      <w:r w:rsidRPr="00443780">
        <w:rPr>
          <w:rFonts w:ascii="Arial" w:hAnsi="Arial" w:cs="Arial"/>
        </w:rPr>
        <w:t>internacionales de derechos humanos en el ámbito educativo, en</w:t>
      </w:r>
      <w:r w:rsidR="001F566C">
        <w:rPr>
          <w:rFonts w:ascii="Arial" w:hAnsi="Arial" w:cs="Arial"/>
        </w:rPr>
        <w:t xml:space="preserve"> </w:t>
      </w:r>
      <w:r w:rsidRPr="00443780">
        <w:rPr>
          <w:rFonts w:ascii="Arial" w:hAnsi="Arial" w:cs="Arial"/>
        </w:rPr>
        <w:t>materia de diversidad sexual.</w:t>
      </w:r>
    </w:p>
    <w:p w:rsidR="00443780" w:rsidRPr="00443780" w:rsidRDefault="00443780" w:rsidP="00443780">
      <w:pPr>
        <w:spacing w:after="0" w:line="360" w:lineRule="auto"/>
        <w:ind w:firstLine="708"/>
        <w:jc w:val="both"/>
        <w:rPr>
          <w:rFonts w:ascii="Arial" w:hAnsi="Arial" w:cs="Arial"/>
        </w:rPr>
      </w:pPr>
      <w:r w:rsidRPr="00443780">
        <w:rPr>
          <w:rFonts w:ascii="Arial" w:hAnsi="Arial" w:cs="Arial"/>
        </w:rPr>
        <w:t xml:space="preserve">2. Las medidas dispuestas por el </w:t>
      </w:r>
      <w:proofErr w:type="spellStart"/>
      <w:r w:rsidRPr="00443780">
        <w:rPr>
          <w:rFonts w:ascii="Arial" w:hAnsi="Arial" w:cs="Arial"/>
        </w:rPr>
        <w:t>Mineduc</w:t>
      </w:r>
      <w:proofErr w:type="spellEnd"/>
      <w:r w:rsidRPr="00443780">
        <w:rPr>
          <w:rFonts w:ascii="Arial" w:hAnsi="Arial" w:cs="Arial"/>
        </w:rPr>
        <w:t xml:space="preserve"> destinadas a apoyar la</w:t>
      </w:r>
      <w:r w:rsidR="001F566C">
        <w:rPr>
          <w:rFonts w:ascii="Arial" w:hAnsi="Arial" w:cs="Arial"/>
        </w:rPr>
        <w:t xml:space="preserve"> </w:t>
      </w:r>
      <w:r w:rsidRPr="00443780">
        <w:rPr>
          <w:rFonts w:ascii="Arial" w:hAnsi="Arial" w:cs="Arial"/>
        </w:rPr>
        <w:t>formación en sexualidad, afectividad y género, son insuficientes</w:t>
      </w:r>
      <w:r w:rsidR="001F566C">
        <w:rPr>
          <w:rFonts w:ascii="Arial" w:hAnsi="Arial" w:cs="Arial"/>
        </w:rPr>
        <w:t xml:space="preserve"> </w:t>
      </w:r>
      <w:r w:rsidRPr="00443780">
        <w:rPr>
          <w:rFonts w:ascii="Arial" w:hAnsi="Arial" w:cs="Arial"/>
        </w:rPr>
        <w:t>para asegurar la plena inclusión de estudiantes LGTBI en el sistema</w:t>
      </w:r>
      <w:r w:rsidR="001F566C">
        <w:rPr>
          <w:rFonts w:ascii="Arial" w:hAnsi="Arial" w:cs="Arial"/>
        </w:rPr>
        <w:t xml:space="preserve"> </w:t>
      </w:r>
      <w:r w:rsidRPr="00443780">
        <w:rPr>
          <w:rFonts w:ascii="Arial" w:hAnsi="Arial" w:cs="Arial"/>
        </w:rPr>
        <w:t>escolar. Si bien se valoran positivamente los apoyos que brinda</w:t>
      </w:r>
      <w:r w:rsidR="001F566C">
        <w:rPr>
          <w:rFonts w:ascii="Arial" w:hAnsi="Arial" w:cs="Arial"/>
        </w:rPr>
        <w:t xml:space="preserve"> </w:t>
      </w:r>
      <w:proofErr w:type="spellStart"/>
      <w:r w:rsidRPr="00443780">
        <w:rPr>
          <w:rFonts w:ascii="Arial" w:hAnsi="Arial" w:cs="Arial"/>
        </w:rPr>
        <w:t>Mineduc</w:t>
      </w:r>
      <w:proofErr w:type="spellEnd"/>
      <w:r w:rsidRPr="00443780">
        <w:rPr>
          <w:rFonts w:ascii="Arial" w:hAnsi="Arial" w:cs="Arial"/>
        </w:rPr>
        <w:t xml:space="preserve"> desde el área de Convivencia Escolar, es evidente que</w:t>
      </w:r>
      <w:r w:rsidR="001F566C">
        <w:rPr>
          <w:rFonts w:ascii="Arial" w:hAnsi="Arial" w:cs="Arial"/>
        </w:rPr>
        <w:t xml:space="preserve"> </w:t>
      </w:r>
      <w:r w:rsidRPr="00443780">
        <w:rPr>
          <w:rFonts w:ascii="Arial" w:hAnsi="Arial" w:cs="Arial"/>
        </w:rPr>
        <w:t>las Bases Curriculares, en las asignaturas de Ciencias Naturales y</w:t>
      </w:r>
      <w:r w:rsidR="001F566C">
        <w:rPr>
          <w:rFonts w:ascii="Arial" w:hAnsi="Arial" w:cs="Arial"/>
        </w:rPr>
        <w:t xml:space="preserve"> </w:t>
      </w:r>
      <w:r w:rsidRPr="00443780">
        <w:rPr>
          <w:rFonts w:ascii="Arial" w:hAnsi="Arial" w:cs="Arial"/>
        </w:rPr>
        <w:t>Orientación, no integran contenidos que hagan referencia explícita</w:t>
      </w:r>
      <w:r w:rsidR="001F566C">
        <w:rPr>
          <w:rFonts w:ascii="Arial" w:hAnsi="Arial" w:cs="Arial"/>
        </w:rPr>
        <w:t xml:space="preserve"> </w:t>
      </w:r>
      <w:r w:rsidRPr="00443780">
        <w:rPr>
          <w:rFonts w:ascii="Arial" w:hAnsi="Arial" w:cs="Arial"/>
        </w:rPr>
        <w:t>a la orientación sexual e identidad de género.</w:t>
      </w:r>
    </w:p>
    <w:p w:rsidR="00443780" w:rsidRPr="00443780" w:rsidRDefault="00443780" w:rsidP="00443780">
      <w:pPr>
        <w:spacing w:after="0" w:line="360" w:lineRule="auto"/>
        <w:ind w:firstLine="708"/>
        <w:jc w:val="both"/>
        <w:rPr>
          <w:rFonts w:ascii="Arial" w:hAnsi="Arial" w:cs="Arial"/>
        </w:rPr>
      </w:pPr>
      <w:r w:rsidRPr="00443780">
        <w:rPr>
          <w:rFonts w:ascii="Arial" w:hAnsi="Arial" w:cs="Arial"/>
        </w:rPr>
        <w:t>3. Los estándares orientadores de la formación inicial docente para</w:t>
      </w:r>
      <w:r w:rsidR="001F566C">
        <w:rPr>
          <w:rFonts w:ascii="Arial" w:hAnsi="Arial" w:cs="Arial"/>
        </w:rPr>
        <w:t xml:space="preserve"> </w:t>
      </w:r>
      <w:r w:rsidRPr="00443780">
        <w:rPr>
          <w:rFonts w:ascii="Arial" w:hAnsi="Arial" w:cs="Arial"/>
        </w:rPr>
        <w:t xml:space="preserve">las carreras de Pedagogía Básica, Educación </w:t>
      </w:r>
      <w:proofErr w:type="spellStart"/>
      <w:r w:rsidRPr="00443780">
        <w:rPr>
          <w:rFonts w:ascii="Arial" w:hAnsi="Arial" w:cs="Arial"/>
        </w:rPr>
        <w:t>Parvularia</w:t>
      </w:r>
      <w:proofErr w:type="spellEnd"/>
      <w:r w:rsidRPr="00443780">
        <w:rPr>
          <w:rFonts w:ascii="Arial" w:hAnsi="Arial" w:cs="Arial"/>
        </w:rPr>
        <w:t>, Educación</w:t>
      </w:r>
      <w:r w:rsidR="001F566C">
        <w:rPr>
          <w:rFonts w:ascii="Arial" w:hAnsi="Arial" w:cs="Arial"/>
        </w:rPr>
        <w:t xml:space="preserve"> </w:t>
      </w:r>
      <w:r w:rsidRPr="00443780">
        <w:rPr>
          <w:rFonts w:ascii="Arial" w:hAnsi="Arial" w:cs="Arial"/>
        </w:rPr>
        <w:t>Diferencial y Pedagogía Media, no visibilizan la temática de</w:t>
      </w:r>
      <w:r w:rsidR="001F566C">
        <w:rPr>
          <w:rFonts w:ascii="Arial" w:hAnsi="Arial" w:cs="Arial"/>
        </w:rPr>
        <w:t xml:space="preserve"> </w:t>
      </w:r>
      <w:r w:rsidRPr="00443780">
        <w:rPr>
          <w:rFonts w:ascii="Arial" w:hAnsi="Arial" w:cs="Arial"/>
        </w:rPr>
        <w:t>la diversidad sexual ni incluyen indicadores relacionados con la</w:t>
      </w:r>
      <w:r w:rsidR="001F566C">
        <w:rPr>
          <w:rFonts w:ascii="Arial" w:hAnsi="Arial" w:cs="Arial"/>
        </w:rPr>
        <w:t xml:space="preserve"> </w:t>
      </w:r>
      <w:r w:rsidRPr="00443780">
        <w:rPr>
          <w:rFonts w:ascii="Arial" w:hAnsi="Arial" w:cs="Arial"/>
        </w:rPr>
        <w:t>orientación sexual e identidad de género. Esta situación impide</w:t>
      </w:r>
      <w:r w:rsidR="001F566C">
        <w:rPr>
          <w:rFonts w:ascii="Arial" w:hAnsi="Arial" w:cs="Arial"/>
        </w:rPr>
        <w:t xml:space="preserve"> </w:t>
      </w:r>
      <w:r w:rsidRPr="00443780">
        <w:rPr>
          <w:rFonts w:ascii="Arial" w:hAnsi="Arial" w:cs="Arial"/>
        </w:rPr>
        <w:t>asegurar que, a nivel de formación de profesores/as, se promueva</w:t>
      </w:r>
      <w:r w:rsidR="001F566C">
        <w:rPr>
          <w:rFonts w:ascii="Arial" w:hAnsi="Arial" w:cs="Arial"/>
        </w:rPr>
        <w:t xml:space="preserve"> </w:t>
      </w:r>
      <w:r w:rsidRPr="00443780">
        <w:rPr>
          <w:rFonts w:ascii="Arial" w:hAnsi="Arial" w:cs="Arial"/>
        </w:rPr>
        <w:t>la adquisición de conocimientos y actitudes que favorezcan la</w:t>
      </w:r>
      <w:r w:rsidR="001F566C">
        <w:rPr>
          <w:rFonts w:ascii="Arial" w:hAnsi="Arial" w:cs="Arial"/>
        </w:rPr>
        <w:t xml:space="preserve"> </w:t>
      </w:r>
      <w:r w:rsidRPr="00443780">
        <w:rPr>
          <w:rFonts w:ascii="Arial" w:hAnsi="Arial" w:cs="Arial"/>
        </w:rPr>
        <w:t>inclusión efectiva de los estudiantes LGTBI en el sistema escolar.</w:t>
      </w:r>
    </w:p>
    <w:p w:rsidR="00443780" w:rsidRPr="00443780" w:rsidRDefault="00443780" w:rsidP="00443780">
      <w:pPr>
        <w:spacing w:after="0" w:line="360" w:lineRule="auto"/>
        <w:ind w:firstLine="708"/>
        <w:jc w:val="both"/>
        <w:rPr>
          <w:rFonts w:ascii="Arial" w:hAnsi="Arial" w:cs="Arial"/>
        </w:rPr>
      </w:pPr>
      <w:r w:rsidRPr="00443780">
        <w:rPr>
          <w:rFonts w:ascii="Arial" w:hAnsi="Arial" w:cs="Arial"/>
        </w:rPr>
        <w:t>4. La Superintendencia de Educación, no incorpora como variable</w:t>
      </w:r>
      <w:r w:rsidR="001F566C">
        <w:rPr>
          <w:rFonts w:ascii="Arial" w:hAnsi="Arial" w:cs="Arial"/>
        </w:rPr>
        <w:t xml:space="preserve"> </w:t>
      </w:r>
      <w:r w:rsidRPr="00443780">
        <w:rPr>
          <w:rFonts w:ascii="Arial" w:hAnsi="Arial" w:cs="Arial"/>
        </w:rPr>
        <w:t>de discriminación la identidad de género, lo que no facilita las</w:t>
      </w:r>
      <w:r w:rsidR="001F566C">
        <w:rPr>
          <w:rFonts w:ascii="Arial" w:hAnsi="Arial" w:cs="Arial"/>
        </w:rPr>
        <w:t xml:space="preserve"> </w:t>
      </w:r>
      <w:r w:rsidRPr="00443780">
        <w:rPr>
          <w:rFonts w:ascii="Arial" w:hAnsi="Arial" w:cs="Arial"/>
        </w:rPr>
        <w:t>denuncias por discriminación en el caso de estudiantes transexuales.</w:t>
      </w:r>
    </w:p>
    <w:p w:rsidR="001F566C" w:rsidRDefault="001F566C" w:rsidP="00443780">
      <w:pPr>
        <w:spacing w:after="0" w:line="360" w:lineRule="auto"/>
        <w:ind w:firstLine="708"/>
        <w:jc w:val="both"/>
        <w:rPr>
          <w:rFonts w:ascii="Arial" w:hAnsi="Arial" w:cs="Arial"/>
        </w:rPr>
      </w:pPr>
    </w:p>
    <w:p w:rsidR="00443780" w:rsidRPr="00115529" w:rsidRDefault="00443780" w:rsidP="00443780">
      <w:pPr>
        <w:spacing w:after="0" w:line="360" w:lineRule="auto"/>
        <w:ind w:firstLine="708"/>
        <w:jc w:val="both"/>
        <w:rPr>
          <w:rFonts w:ascii="Arial" w:hAnsi="Arial" w:cs="Arial"/>
          <w:b/>
        </w:rPr>
      </w:pPr>
      <w:r w:rsidRPr="00115529">
        <w:rPr>
          <w:rFonts w:ascii="Arial" w:hAnsi="Arial" w:cs="Arial"/>
          <w:b/>
        </w:rPr>
        <w:t>RECOMENDACIONES</w:t>
      </w:r>
      <w:r w:rsidR="002C2E14">
        <w:rPr>
          <w:rStyle w:val="Refdenotaalpie"/>
          <w:rFonts w:ascii="Arial" w:hAnsi="Arial" w:cs="Arial"/>
          <w:b/>
        </w:rPr>
        <w:footnoteReference w:id="5"/>
      </w:r>
    </w:p>
    <w:p w:rsidR="00443780" w:rsidRPr="00443780" w:rsidRDefault="00443780" w:rsidP="00443780">
      <w:pPr>
        <w:spacing w:after="0" w:line="360" w:lineRule="auto"/>
        <w:ind w:firstLine="708"/>
        <w:jc w:val="both"/>
        <w:rPr>
          <w:rFonts w:ascii="Arial" w:hAnsi="Arial" w:cs="Arial"/>
        </w:rPr>
      </w:pPr>
      <w:r w:rsidRPr="00443780">
        <w:rPr>
          <w:rFonts w:ascii="Arial" w:hAnsi="Arial" w:cs="Arial"/>
        </w:rPr>
        <w:t>En base al desarrollo anterior y sus conclusiones, se recomienda al Estado:</w:t>
      </w:r>
    </w:p>
    <w:p w:rsidR="00443780" w:rsidRPr="00443780" w:rsidRDefault="00443780" w:rsidP="00443780">
      <w:pPr>
        <w:spacing w:after="0" w:line="360" w:lineRule="auto"/>
        <w:ind w:firstLine="708"/>
        <w:jc w:val="both"/>
        <w:rPr>
          <w:rFonts w:ascii="Arial" w:hAnsi="Arial" w:cs="Arial"/>
        </w:rPr>
      </w:pPr>
      <w:r w:rsidRPr="00443780">
        <w:rPr>
          <w:rFonts w:ascii="Arial" w:hAnsi="Arial" w:cs="Arial"/>
        </w:rPr>
        <w:t>1. Hacer los ajustes necesarios a la Ley 20.845, de inclusión escolar,</w:t>
      </w:r>
      <w:r w:rsidR="001F566C">
        <w:rPr>
          <w:rFonts w:ascii="Arial" w:hAnsi="Arial" w:cs="Arial"/>
        </w:rPr>
        <w:t xml:space="preserve"> </w:t>
      </w:r>
      <w:r w:rsidRPr="00443780">
        <w:rPr>
          <w:rFonts w:ascii="Arial" w:hAnsi="Arial" w:cs="Arial"/>
        </w:rPr>
        <w:t>con el fin de asegurar que ningún estudiante LGTBI pueda</w:t>
      </w:r>
      <w:r w:rsidR="001F566C">
        <w:rPr>
          <w:rFonts w:ascii="Arial" w:hAnsi="Arial" w:cs="Arial"/>
        </w:rPr>
        <w:t xml:space="preserve"> </w:t>
      </w:r>
      <w:r w:rsidRPr="00443780">
        <w:rPr>
          <w:rFonts w:ascii="Arial" w:hAnsi="Arial" w:cs="Arial"/>
        </w:rPr>
        <w:t>ser discriminado del sistema escolar, con el pretexto de apelar</w:t>
      </w:r>
      <w:r w:rsidR="001F566C">
        <w:rPr>
          <w:rFonts w:ascii="Arial" w:hAnsi="Arial" w:cs="Arial"/>
        </w:rPr>
        <w:t xml:space="preserve"> </w:t>
      </w:r>
      <w:r w:rsidRPr="00443780">
        <w:rPr>
          <w:rFonts w:ascii="Arial" w:hAnsi="Arial" w:cs="Arial"/>
        </w:rPr>
        <w:t>al principio de libertad de enseñanza por sobre el derecho a la</w:t>
      </w:r>
      <w:r w:rsidR="001F566C">
        <w:rPr>
          <w:rFonts w:ascii="Arial" w:hAnsi="Arial" w:cs="Arial"/>
        </w:rPr>
        <w:t xml:space="preserve"> </w:t>
      </w:r>
      <w:r w:rsidRPr="00443780">
        <w:rPr>
          <w:rFonts w:ascii="Arial" w:hAnsi="Arial" w:cs="Arial"/>
        </w:rPr>
        <w:t>educación. Asimismo, modificar la Ley 20.609, conocida como</w:t>
      </w:r>
      <w:r w:rsidR="001F566C">
        <w:rPr>
          <w:rFonts w:ascii="Arial" w:hAnsi="Arial" w:cs="Arial"/>
        </w:rPr>
        <w:t xml:space="preserve"> </w:t>
      </w:r>
      <w:r w:rsidRPr="00443780">
        <w:rPr>
          <w:rFonts w:ascii="Arial" w:hAnsi="Arial" w:cs="Arial"/>
        </w:rPr>
        <w:t>Ley Zamudio o antidiscriminación, en base a las observaciones</w:t>
      </w:r>
      <w:r w:rsidR="001F566C">
        <w:rPr>
          <w:rFonts w:ascii="Arial" w:hAnsi="Arial" w:cs="Arial"/>
        </w:rPr>
        <w:t xml:space="preserve"> </w:t>
      </w:r>
      <w:r w:rsidRPr="00443780">
        <w:rPr>
          <w:rFonts w:ascii="Arial" w:hAnsi="Arial" w:cs="Arial"/>
        </w:rPr>
        <w:t>finales sobre el cuarto informe periódico de Chile ante el Consejo</w:t>
      </w:r>
      <w:r w:rsidR="001F566C">
        <w:rPr>
          <w:rFonts w:ascii="Arial" w:hAnsi="Arial" w:cs="Arial"/>
        </w:rPr>
        <w:t xml:space="preserve"> </w:t>
      </w:r>
      <w:r w:rsidRPr="00443780">
        <w:rPr>
          <w:rFonts w:ascii="Arial" w:hAnsi="Arial" w:cs="Arial"/>
        </w:rPr>
        <w:t>Económico y Social de Naciones Unidas.</w:t>
      </w:r>
    </w:p>
    <w:p w:rsidR="001F566C" w:rsidRDefault="00443780" w:rsidP="00443780">
      <w:pPr>
        <w:spacing w:after="0" w:line="360" w:lineRule="auto"/>
        <w:ind w:firstLine="708"/>
        <w:jc w:val="both"/>
        <w:rPr>
          <w:rFonts w:ascii="Arial" w:hAnsi="Arial" w:cs="Arial"/>
        </w:rPr>
      </w:pPr>
      <w:r w:rsidRPr="00443780">
        <w:rPr>
          <w:rFonts w:ascii="Arial" w:hAnsi="Arial" w:cs="Arial"/>
        </w:rPr>
        <w:t>2. Implementar modificaciones en las bases curriculares de las asignaturas</w:t>
      </w:r>
      <w:r w:rsidR="001F566C">
        <w:rPr>
          <w:rFonts w:ascii="Arial" w:hAnsi="Arial" w:cs="Arial"/>
        </w:rPr>
        <w:t xml:space="preserve"> </w:t>
      </w:r>
      <w:r w:rsidRPr="00443780">
        <w:rPr>
          <w:rFonts w:ascii="Arial" w:hAnsi="Arial" w:cs="Arial"/>
        </w:rPr>
        <w:t>de Ciencias Naturales y Orientación, con el fin de visibilizar</w:t>
      </w:r>
      <w:r w:rsidR="001F566C">
        <w:rPr>
          <w:rFonts w:ascii="Arial" w:hAnsi="Arial" w:cs="Arial"/>
        </w:rPr>
        <w:t xml:space="preserve"> </w:t>
      </w:r>
      <w:r w:rsidRPr="00443780">
        <w:rPr>
          <w:rFonts w:ascii="Arial" w:hAnsi="Arial" w:cs="Arial"/>
        </w:rPr>
        <w:t>la temática de diversidad sexual desde un enfoque de derechos.</w:t>
      </w:r>
    </w:p>
    <w:p w:rsidR="00443780" w:rsidRPr="00443780" w:rsidRDefault="00443780" w:rsidP="00443780">
      <w:pPr>
        <w:spacing w:after="0" w:line="360" w:lineRule="auto"/>
        <w:ind w:firstLine="708"/>
        <w:jc w:val="both"/>
        <w:rPr>
          <w:rFonts w:ascii="Arial" w:hAnsi="Arial" w:cs="Arial"/>
        </w:rPr>
      </w:pPr>
      <w:r w:rsidRPr="00443780">
        <w:rPr>
          <w:rFonts w:ascii="Arial" w:hAnsi="Arial" w:cs="Arial"/>
        </w:rPr>
        <w:t>3. Modificar los estándares de formación inicial docente para las</w:t>
      </w:r>
      <w:r w:rsidR="001F566C">
        <w:rPr>
          <w:rFonts w:ascii="Arial" w:hAnsi="Arial" w:cs="Arial"/>
        </w:rPr>
        <w:t xml:space="preserve"> </w:t>
      </w:r>
      <w:r w:rsidRPr="00443780">
        <w:rPr>
          <w:rFonts w:ascii="Arial" w:hAnsi="Arial" w:cs="Arial"/>
        </w:rPr>
        <w:t>diversas carreras de pedagogía, tanto en el ámbito pedagógico</w:t>
      </w:r>
      <w:r w:rsidR="001F566C">
        <w:rPr>
          <w:rFonts w:ascii="Arial" w:hAnsi="Arial" w:cs="Arial"/>
        </w:rPr>
        <w:t xml:space="preserve"> </w:t>
      </w:r>
      <w:r w:rsidRPr="00443780">
        <w:rPr>
          <w:rFonts w:ascii="Arial" w:hAnsi="Arial" w:cs="Arial"/>
        </w:rPr>
        <w:t xml:space="preserve">como disciplinar, con el fin de asegurar que las nuevas </w:t>
      </w:r>
      <w:r w:rsidRPr="00443780">
        <w:rPr>
          <w:rFonts w:ascii="Arial" w:hAnsi="Arial" w:cs="Arial"/>
        </w:rPr>
        <w:lastRenderedPageBreak/>
        <w:t>generaciones</w:t>
      </w:r>
      <w:r w:rsidR="001F566C">
        <w:rPr>
          <w:rFonts w:ascii="Arial" w:hAnsi="Arial" w:cs="Arial"/>
        </w:rPr>
        <w:t xml:space="preserve"> </w:t>
      </w:r>
      <w:r w:rsidRPr="00443780">
        <w:rPr>
          <w:rFonts w:ascii="Arial" w:hAnsi="Arial" w:cs="Arial"/>
        </w:rPr>
        <w:t>de docentes cuenten con herramientas para el reconocimiento</w:t>
      </w:r>
      <w:r w:rsidR="001F566C">
        <w:rPr>
          <w:rFonts w:ascii="Arial" w:hAnsi="Arial" w:cs="Arial"/>
        </w:rPr>
        <w:t xml:space="preserve"> </w:t>
      </w:r>
      <w:r w:rsidRPr="00443780">
        <w:rPr>
          <w:rFonts w:ascii="Arial" w:hAnsi="Arial" w:cs="Arial"/>
        </w:rPr>
        <w:t>y acompañamiento de la comunidad LGTBI en la escuela.</w:t>
      </w:r>
    </w:p>
    <w:p w:rsidR="00443780" w:rsidRDefault="00443780" w:rsidP="00443780">
      <w:pPr>
        <w:spacing w:after="0" w:line="360" w:lineRule="auto"/>
        <w:ind w:firstLine="708"/>
        <w:jc w:val="both"/>
        <w:rPr>
          <w:rFonts w:ascii="Arial" w:hAnsi="Arial" w:cs="Arial"/>
        </w:rPr>
      </w:pPr>
      <w:r w:rsidRPr="00443780">
        <w:rPr>
          <w:rFonts w:ascii="Arial" w:hAnsi="Arial" w:cs="Arial"/>
        </w:rPr>
        <w:t>4. Mantener actualizada la información de la Superintendencia de</w:t>
      </w:r>
      <w:r w:rsidR="001F566C">
        <w:rPr>
          <w:rFonts w:ascii="Arial" w:hAnsi="Arial" w:cs="Arial"/>
        </w:rPr>
        <w:t xml:space="preserve"> </w:t>
      </w:r>
      <w:r w:rsidRPr="00443780">
        <w:rPr>
          <w:rFonts w:ascii="Arial" w:hAnsi="Arial" w:cs="Arial"/>
        </w:rPr>
        <w:t>Educación sobre casos de discriminación e incluir la variable</w:t>
      </w:r>
      <w:r w:rsidR="001F566C">
        <w:rPr>
          <w:rFonts w:ascii="Arial" w:hAnsi="Arial" w:cs="Arial"/>
        </w:rPr>
        <w:t xml:space="preserve"> </w:t>
      </w:r>
      <w:r w:rsidRPr="00443780">
        <w:rPr>
          <w:rFonts w:ascii="Arial" w:hAnsi="Arial" w:cs="Arial"/>
        </w:rPr>
        <w:t>identidad de género como potencial causa de discriminación.</w:t>
      </w:r>
    </w:p>
    <w:p w:rsidR="00701738" w:rsidRDefault="00701738" w:rsidP="00443780">
      <w:pPr>
        <w:spacing w:after="0" w:line="360" w:lineRule="auto"/>
        <w:ind w:firstLine="708"/>
        <w:jc w:val="both"/>
        <w:rPr>
          <w:rFonts w:ascii="Arial" w:hAnsi="Arial" w:cs="Arial"/>
        </w:rPr>
      </w:pPr>
    </w:p>
    <w:p w:rsidR="00701738" w:rsidRDefault="00701738" w:rsidP="00701738">
      <w:pPr>
        <w:spacing w:after="0" w:line="360" w:lineRule="auto"/>
        <w:jc w:val="both"/>
        <w:rPr>
          <w:rFonts w:ascii="Arial" w:hAnsi="Arial" w:cs="Arial"/>
        </w:rPr>
      </w:pPr>
    </w:p>
    <w:p w:rsidR="00701738" w:rsidRPr="00701738" w:rsidRDefault="00701738" w:rsidP="00701738">
      <w:pPr>
        <w:spacing w:after="0" w:line="360" w:lineRule="auto"/>
        <w:jc w:val="both"/>
        <w:rPr>
          <w:rFonts w:ascii="Arial" w:hAnsi="Arial" w:cs="Arial"/>
          <w:u w:val="single"/>
        </w:rPr>
      </w:pPr>
      <w:r w:rsidRPr="00701738">
        <w:rPr>
          <w:rFonts w:ascii="Arial" w:hAnsi="Arial" w:cs="Arial"/>
          <w:u w:val="single"/>
        </w:rPr>
        <w:t>Capítulo 9: Derechos humanos de la infancia y adolescencia: ¿asegura el Estado a los niños, niñas y adolescentes el derecho a vivir en el seno de una familia</w:t>
      </w:r>
      <w:proofErr w:type="gramStart"/>
      <w:r w:rsidRPr="00701738">
        <w:rPr>
          <w:rFonts w:ascii="Arial" w:hAnsi="Arial" w:cs="Arial"/>
          <w:u w:val="single"/>
        </w:rPr>
        <w:t>?.</w:t>
      </w:r>
      <w:proofErr w:type="gramEnd"/>
    </w:p>
    <w:p w:rsidR="00701738" w:rsidRPr="007B3F97" w:rsidRDefault="00701738" w:rsidP="00701738">
      <w:pPr>
        <w:spacing w:after="0" w:line="360" w:lineRule="auto"/>
        <w:jc w:val="both"/>
        <w:rPr>
          <w:rFonts w:ascii="Arial" w:hAnsi="Arial" w:cs="Arial"/>
        </w:rPr>
      </w:pPr>
    </w:p>
    <w:p w:rsidR="007B3F97" w:rsidRPr="007B3F97" w:rsidRDefault="007B3F97" w:rsidP="00701738">
      <w:pPr>
        <w:spacing w:after="0" w:line="360" w:lineRule="auto"/>
        <w:jc w:val="both"/>
        <w:rPr>
          <w:rFonts w:ascii="Arial" w:hAnsi="Arial" w:cs="Arial"/>
        </w:rPr>
      </w:pPr>
      <w:r w:rsidRPr="007B3F97">
        <w:rPr>
          <w:rFonts w:ascii="Arial" w:hAnsi="Arial" w:cs="Arial"/>
        </w:rPr>
        <w:t>**Este capítulo no trata la problemática de adopción por padres/madres LGTB pero lo rescato para tener insumos y defender la reforma de la Ley de Adopción con datos duros</w:t>
      </w:r>
      <w:proofErr w:type="gramStart"/>
      <w:r w:rsidRPr="007B3F97">
        <w:rPr>
          <w:rFonts w:ascii="Arial" w:hAnsi="Arial" w:cs="Arial"/>
        </w:rPr>
        <w:t>.*</w:t>
      </w:r>
      <w:proofErr w:type="gramEnd"/>
      <w:r w:rsidRPr="007B3F97">
        <w:rPr>
          <w:rFonts w:ascii="Arial" w:hAnsi="Arial" w:cs="Arial"/>
        </w:rPr>
        <w:t>*</w:t>
      </w:r>
    </w:p>
    <w:p w:rsidR="007B3F97" w:rsidRPr="00701738" w:rsidRDefault="007B3F97" w:rsidP="00701738">
      <w:pPr>
        <w:spacing w:after="0" w:line="360" w:lineRule="auto"/>
        <w:jc w:val="both"/>
        <w:rPr>
          <w:rFonts w:ascii="Arial" w:hAnsi="Arial" w:cs="Arial"/>
          <w:u w:val="single"/>
        </w:rPr>
      </w:pPr>
    </w:p>
    <w:p w:rsidR="00701738" w:rsidRDefault="004F2974" w:rsidP="004F2974">
      <w:pPr>
        <w:spacing w:after="0" w:line="360" w:lineRule="auto"/>
        <w:ind w:firstLine="708"/>
        <w:jc w:val="both"/>
        <w:rPr>
          <w:rFonts w:ascii="Arial" w:hAnsi="Arial" w:cs="Arial"/>
        </w:rPr>
      </w:pPr>
      <w:r w:rsidRPr="004F2974">
        <w:rPr>
          <w:rFonts w:ascii="Arial" w:hAnsi="Arial" w:cs="Arial"/>
        </w:rPr>
        <w:t>El presente capítulo se dedicará a evaluar la política pública existente</w:t>
      </w:r>
      <w:r>
        <w:rPr>
          <w:rFonts w:ascii="Arial" w:hAnsi="Arial" w:cs="Arial"/>
        </w:rPr>
        <w:t xml:space="preserve"> </w:t>
      </w:r>
      <w:r w:rsidRPr="004F2974">
        <w:rPr>
          <w:rFonts w:ascii="Arial" w:hAnsi="Arial" w:cs="Arial"/>
        </w:rPr>
        <w:t>en cuanto a la protección y promoción del derecho a vivir en familia</w:t>
      </w:r>
      <w:r>
        <w:rPr>
          <w:rFonts w:ascii="Arial" w:hAnsi="Arial" w:cs="Arial"/>
        </w:rPr>
        <w:t xml:space="preserve"> </w:t>
      </w:r>
      <w:r w:rsidRPr="004F2974">
        <w:rPr>
          <w:rFonts w:ascii="Arial" w:hAnsi="Arial" w:cs="Arial"/>
        </w:rPr>
        <w:t>de todo niño, niña o adolescente (en adelante NNA), a la luz de los</w:t>
      </w:r>
      <w:r>
        <w:rPr>
          <w:rFonts w:ascii="Arial" w:hAnsi="Arial" w:cs="Arial"/>
        </w:rPr>
        <w:t xml:space="preserve"> </w:t>
      </w:r>
      <w:r w:rsidRPr="004F2974">
        <w:rPr>
          <w:rFonts w:ascii="Arial" w:hAnsi="Arial" w:cs="Arial"/>
        </w:rPr>
        <w:t>estándares internacionales de derechos humanos.</w:t>
      </w:r>
    </w:p>
    <w:p w:rsidR="004F2974" w:rsidRDefault="004F2974" w:rsidP="004F2974">
      <w:pPr>
        <w:spacing w:after="0" w:line="360" w:lineRule="auto"/>
        <w:ind w:firstLine="708"/>
        <w:jc w:val="both"/>
        <w:rPr>
          <w:rFonts w:ascii="Arial" w:hAnsi="Arial" w:cs="Arial"/>
        </w:rPr>
      </w:pPr>
      <w:r>
        <w:rPr>
          <w:rFonts w:ascii="Arial" w:hAnsi="Arial" w:cs="Arial"/>
        </w:rPr>
        <w:t xml:space="preserve">Primeramente se analiza la consagración normativa internacional del Derecho a la Familia. </w:t>
      </w:r>
    </w:p>
    <w:p w:rsidR="004F2974" w:rsidRDefault="004F2974" w:rsidP="004F2974">
      <w:pPr>
        <w:spacing w:after="0" w:line="360" w:lineRule="auto"/>
        <w:ind w:firstLine="708"/>
        <w:jc w:val="both"/>
        <w:rPr>
          <w:rFonts w:ascii="Arial" w:hAnsi="Arial" w:cs="Arial"/>
        </w:rPr>
      </w:pPr>
      <w:r>
        <w:rPr>
          <w:rFonts w:ascii="Arial" w:hAnsi="Arial" w:cs="Arial"/>
        </w:rPr>
        <w:t xml:space="preserve">Acto seguido, se analiza la situación actual en Chile sobre el Derecho a la Familia de niños, niñas y adolescentes. </w:t>
      </w:r>
      <w:r w:rsidR="003D5407">
        <w:rPr>
          <w:rFonts w:ascii="Arial" w:hAnsi="Arial" w:cs="Arial"/>
        </w:rPr>
        <w:t>Se establecen ciertas cuestiones relevantes que rescato a continuación.</w:t>
      </w:r>
    </w:p>
    <w:p w:rsidR="003D5407" w:rsidRDefault="000E5FB3" w:rsidP="00A973D4">
      <w:pPr>
        <w:spacing w:after="0" w:line="360" w:lineRule="auto"/>
        <w:ind w:firstLine="708"/>
        <w:jc w:val="both"/>
        <w:rPr>
          <w:rFonts w:ascii="Arial" w:hAnsi="Arial" w:cs="Arial"/>
        </w:rPr>
      </w:pPr>
      <w:r>
        <w:rPr>
          <w:rFonts w:ascii="Arial" w:hAnsi="Arial" w:cs="Arial"/>
        </w:rPr>
        <w:t xml:space="preserve">Se establece </w:t>
      </w:r>
      <w:r w:rsidR="00A973D4" w:rsidRPr="00A973D4">
        <w:rPr>
          <w:rFonts w:ascii="Arial" w:hAnsi="Arial" w:cs="Arial"/>
        </w:rPr>
        <w:t>a partir de la información aportada por el SENAME,</w:t>
      </w:r>
      <w:r w:rsidR="007C047C">
        <w:rPr>
          <w:rFonts w:ascii="Arial" w:hAnsi="Arial" w:cs="Arial"/>
        </w:rPr>
        <w:t xml:space="preserve"> </w:t>
      </w:r>
      <w:r w:rsidR="00A973D4" w:rsidRPr="00A973D4">
        <w:rPr>
          <w:rFonts w:ascii="Arial" w:hAnsi="Arial" w:cs="Arial"/>
        </w:rPr>
        <w:t>no es posible conocer en profundidad los motivos que llevan</w:t>
      </w:r>
      <w:r w:rsidR="007C047C">
        <w:rPr>
          <w:rFonts w:ascii="Arial" w:hAnsi="Arial" w:cs="Arial"/>
        </w:rPr>
        <w:t xml:space="preserve"> </w:t>
      </w:r>
      <w:r w:rsidR="00A973D4" w:rsidRPr="00A973D4">
        <w:rPr>
          <w:rFonts w:ascii="Arial" w:hAnsi="Arial" w:cs="Arial"/>
        </w:rPr>
        <w:t>a tan drástica medida. El SENAME solo da cuenta de una causal general</w:t>
      </w:r>
      <w:r w:rsidR="007C047C">
        <w:rPr>
          <w:rFonts w:ascii="Arial" w:hAnsi="Arial" w:cs="Arial"/>
        </w:rPr>
        <w:t xml:space="preserve"> </w:t>
      </w:r>
      <w:r w:rsidR="00A973D4" w:rsidRPr="00A973D4">
        <w:rPr>
          <w:rFonts w:ascii="Arial" w:hAnsi="Arial" w:cs="Arial"/>
        </w:rPr>
        <w:t>de ingreso a residencias lla</w:t>
      </w:r>
      <w:r w:rsidR="007C047C">
        <w:rPr>
          <w:rFonts w:ascii="Arial" w:hAnsi="Arial" w:cs="Arial"/>
        </w:rPr>
        <w:t>mada “protección de derechos”,</w:t>
      </w:r>
      <w:r w:rsidR="00A973D4" w:rsidRPr="00A973D4">
        <w:rPr>
          <w:rFonts w:ascii="Arial" w:hAnsi="Arial" w:cs="Arial"/>
        </w:rPr>
        <w:t xml:space="preserve"> que</w:t>
      </w:r>
      <w:r w:rsidR="007C047C">
        <w:rPr>
          <w:rFonts w:ascii="Arial" w:hAnsi="Arial" w:cs="Arial"/>
        </w:rPr>
        <w:t xml:space="preserve"> </w:t>
      </w:r>
      <w:r w:rsidR="00A973D4" w:rsidRPr="00A973D4">
        <w:rPr>
          <w:rFonts w:ascii="Arial" w:hAnsi="Arial" w:cs="Arial"/>
        </w:rPr>
        <w:t>no permite establecer específicamente el motivo por el cual el NNA</w:t>
      </w:r>
      <w:r w:rsidR="007C047C">
        <w:rPr>
          <w:rFonts w:ascii="Arial" w:hAnsi="Arial" w:cs="Arial"/>
        </w:rPr>
        <w:t xml:space="preserve"> </w:t>
      </w:r>
      <w:r w:rsidR="00A973D4" w:rsidRPr="00A973D4">
        <w:rPr>
          <w:rFonts w:ascii="Arial" w:hAnsi="Arial" w:cs="Arial"/>
        </w:rPr>
        <w:t>se encuentra bajo el cuidado de una institución</w:t>
      </w:r>
      <w:r w:rsidR="007C047C">
        <w:rPr>
          <w:rFonts w:ascii="Arial" w:hAnsi="Arial" w:cs="Arial"/>
        </w:rPr>
        <w:t>.</w:t>
      </w:r>
    </w:p>
    <w:p w:rsidR="00A973D4" w:rsidRDefault="00A973D4" w:rsidP="00A973D4">
      <w:pPr>
        <w:spacing w:after="0" w:line="360" w:lineRule="auto"/>
        <w:ind w:firstLine="708"/>
        <w:jc w:val="both"/>
        <w:rPr>
          <w:rFonts w:ascii="Arial" w:hAnsi="Arial" w:cs="Arial"/>
        </w:rPr>
      </w:pPr>
      <w:r w:rsidRPr="00A973D4">
        <w:rPr>
          <w:rFonts w:ascii="Arial" w:hAnsi="Arial" w:cs="Arial"/>
        </w:rPr>
        <w:t>Así, por ejemplo, un</w:t>
      </w:r>
      <w:r w:rsidR="007C047C">
        <w:rPr>
          <w:rFonts w:ascii="Arial" w:hAnsi="Arial" w:cs="Arial"/>
        </w:rPr>
        <w:t xml:space="preserve"> </w:t>
      </w:r>
      <w:r w:rsidRPr="00A973D4">
        <w:rPr>
          <w:rFonts w:ascii="Arial" w:hAnsi="Arial" w:cs="Arial"/>
        </w:rPr>
        <w:t>6,7% de NNA ingresan al sistema de protección especial de derechos</w:t>
      </w:r>
      <w:r w:rsidR="007C047C">
        <w:rPr>
          <w:rFonts w:ascii="Arial" w:hAnsi="Arial" w:cs="Arial"/>
        </w:rPr>
        <w:t xml:space="preserve"> </w:t>
      </w:r>
      <w:r w:rsidRPr="00A973D4">
        <w:rPr>
          <w:rFonts w:ascii="Arial" w:hAnsi="Arial" w:cs="Arial"/>
        </w:rPr>
        <w:t>por ser testigos de violencia intrafamiliar, un 17% por ser víctima de</w:t>
      </w:r>
      <w:r w:rsidR="007C047C">
        <w:rPr>
          <w:rFonts w:ascii="Arial" w:hAnsi="Arial" w:cs="Arial"/>
        </w:rPr>
        <w:t xml:space="preserve"> </w:t>
      </w:r>
      <w:r w:rsidR="007B3F97">
        <w:rPr>
          <w:rFonts w:ascii="Arial" w:hAnsi="Arial" w:cs="Arial"/>
        </w:rPr>
        <w:t>negligencia</w:t>
      </w:r>
      <w:r w:rsidRPr="00A973D4">
        <w:rPr>
          <w:rFonts w:ascii="Arial" w:hAnsi="Arial" w:cs="Arial"/>
        </w:rPr>
        <w:t xml:space="preserve"> y un 8,3% por prevención. El dato más llamativo es que</w:t>
      </w:r>
      <w:r w:rsidR="007C047C">
        <w:rPr>
          <w:rFonts w:ascii="Arial" w:hAnsi="Arial" w:cs="Arial"/>
        </w:rPr>
        <w:t xml:space="preserve"> </w:t>
      </w:r>
      <w:r w:rsidRPr="00A973D4">
        <w:rPr>
          <w:rFonts w:ascii="Arial" w:hAnsi="Arial" w:cs="Arial"/>
        </w:rPr>
        <w:t>el 0,4% ingresa porque la familia tiene problemas de vivienda o habita</w:t>
      </w:r>
      <w:r w:rsidR="007C047C">
        <w:rPr>
          <w:rFonts w:ascii="Arial" w:hAnsi="Arial" w:cs="Arial"/>
        </w:rPr>
        <w:t xml:space="preserve"> </w:t>
      </w:r>
      <w:r w:rsidRPr="00A973D4">
        <w:rPr>
          <w:rFonts w:ascii="Arial" w:hAnsi="Arial" w:cs="Arial"/>
        </w:rPr>
        <w:t>b</w:t>
      </w:r>
      <w:r>
        <w:rPr>
          <w:rFonts w:ascii="Arial" w:hAnsi="Arial" w:cs="Arial"/>
        </w:rPr>
        <w:t>arrios de alta vulnerabilidad.</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Sumado a lo anterior, y entendiendo que según cifras de la encuesta</w:t>
      </w:r>
      <w:r w:rsidR="007C047C">
        <w:rPr>
          <w:rFonts w:ascii="Arial" w:hAnsi="Arial" w:cs="Arial"/>
        </w:rPr>
        <w:t xml:space="preserve"> </w:t>
      </w:r>
      <w:r w:rsidRPr="00A973D4">
        <w:rPr>
          <w:rFonts w:ascii="Arial" w:hAnsi="Arial" w:cs="Arial"/>
        </w:rPr>
        <w:t>CASEN en Chile un 22,8% de los NNA viv</w:t>
      </w:r>
      <w:r w:rsidR="007C047C">
        <w:rPr>
          <w:rFonts w:ascii="Arial" w:hAnsi="Arial" w:cs="Arial"/>
        </w:rPr>
        <w:t>en bajo la línea de la pobreza</w:t>
      </w:r>
      <w:r w:rsidRPr="00A973D4">
        <w:rPr>
          <w:rFonts w:ascii="Arial" w:hAnsi="Arial" w:cs="Arial"/>
        </w:rPr>
        <w:t>,</w:t>
      </w:r>
      <w:r w:rsidR="007C047C">
        <w:rPr>
          <w:rFonts w:ascii="Arial" w:hAnsi="Arial" w:cs="Arial"/>
        </w:rPr>
        <w:t xml:space="preserve"> </w:t>
      </w:r>
      <w:r w:rsidRPr="00A973D4">
        <w:rPr>
          <w:rFonts w:ascii="Arial" w:hAnsi="Arial" w:cs="Arial"/>
        </w:rPr>
        <w:t>ocurre que la falta de una respuesta estatal integral para superarla</w:t>
      </w:r>
      <w:r w:rsidR="007C047C">
        <w:rPr>
          <w:rFonts w:ascii="Arial" w:hAnsi="Arial" w:cs="Arial"/>
        </w:rPr>
        <w:t xml:space="preserve"> </w:t>
      </w:r>
      <w:r w:rsidRPr="00A973D4">
        <w:rPr>
          <w:rFonts w:ascii="Arial" w:hAnsi="Arial" w:cs="Arial"/>
        </w:rPr>
        <w:t>genera que los NNA que viven en la pobreza estén sujetos a una</w:t>
      </w:r>
      <w:r w:rsidR="007C047C">
        <w:rPr>
          <w:rFonts w:ascii="Arial" w:hAnsi="Arial" w:cs="Arial"/>
        </w:rPr>
        <w:t xml:space="preserve"> </w:t>
      </w:r>
      <w:r w:rsidRPr="00A973D4">
        <w:rPr>
          <w:rFonts w:ascii="Arial" w:hAnsi="Arial" w:cs="Arial"/>
        </w:rPr>
        <w:t>mayor vulneración de sus derechos.</w:t>
      </w:r>
    </w:p>
    <w:p w:rsidR="00A973D4" w:rsidRDefault="00A973D4" w:rsidP="00A973D4">
      <w:pPr>
        <w:spacing w:after="0" w:line="360" w:lineRule="auto"/>
        <w:ind w:firstLine="708"/>
        <w:jc w:val="both"/>
        <w:rPr>
          <w:rFonts w:ascii="Arial" w:hAnsi="Arial" w:cs="Arial"/>
        </w:rPr>
      </w:pPr>
      <w:r w:rsidRPr="00A973D4">
        <w:rPr>
          <w:rFonts w:ascii="Arial" w:hAnsi="Arial" w:cs="Arial"/>
        </w:rPr>
        <w:t>Es por ello que “los niños, niñas y adolescentes son los más afectados</w:t>
      </w:r>
      <w:r w:rsidR="007C047C">
        <w:rPr>
          <w:rFonts w:ascii="Arial" w:hAnsi="Arial" w:cs="Arial"/>
        </w:rPr>
        <w:t xml:space="preserve"> </w:t>
      </w:r>
      <w:r w:rsidRPr="00A973D4">
        <w:rPr>
          <w:rFonts w:ascii="Arial" w:hAnsi="Arial" w:cs="Arial"/>
        </w:rPr>
        <w:t>por la pobreza: la tasa de pobreza de las personas menores de 15 años se</w:t>
      </w:r>
      <w:r w:rsidR="007C047C">
        <w:rPr>
          <w:rFonts w:ascii="Arial" w:hAnsi="Arial" w:cs="Arial"/>
        </w:rPr>
        <w:t xml:space="preserve"> </w:t>
      </w:r>
      <w:r w:rsidRPr="00A973D4">
        <w:rPr>
          <w:rFonts w:ascii="Arial" w:hAnsi="Arial" w:cs="Arial"/>
        </w:rPr>
        <w:t>ubica de 1,1 a 2,0 veces por encima de la correspondiente a la población</w:t>
      </w:r>
      <w:r w:rsidR="007C047C">
        <w:rPr>
          <w:rFonts w:ascii="Arial" w:hAnsi="Arial" w:cs="Arial"/>
        </w:rPr>
        <w:t xml:space="preserve"> </w:t>
      </w:r>
      <w:r>
        <w:rPr>
          <w:rFonts w:ascii="Arial" w:hAnsi="Arial" w:cs="Arial"/>
        </w:rPr>
        <w:t>total”.</w:t>
      </w:r>
    </w:p>
    <w:p w:rsidR="00A973D4" w:rsidRDefault="00A973D4" w:rsidP="00A973D4">
      <w:pPr>
        <w:spacing w:after="0" w:line="360" w:lineRule="auto"/>
        <w:ind w:firstLine="708"/>
        <w:jc w:val="both"/>
        <w:rPr>
          <w:rFonts w:ascii="Arial" w:hAnsi="Arial" w:cs="Arial"/>
        </w:rPr>
      </w:pPr>
    </w:p>
    <w:p w:rsidR="00A973D4" w:rsidRDefault="00A854A9" w:rsidP="00A973D4">
      <w:pPr>
        <w:spacing w:after="0" w:line="360" w:lineRule="auto"/>
        <w:ind w:firstLine="708"/>
        <w:jc w:val="both"/>
        <w:rPr>
          <w:rFonts w:ascii="Arial" w:hAnsi="Arial" w:cs="Arial"/>
        </w:rPr>
      </w:pPr>
      <w:r w:rsidRPr="00A973D4">
        <w:rPr>
          <w:rFonts w:ascii="Arial" w:hAnsi="Arial" w:cs="Arial"/>
        </w:rPr>
        <w:lastRenderedPageBreak/>
        <w:t>El</w:t>
      </w:r>
      <w:r w:rsidR="00A973D4" w:rsidRPr="00A973D4">
        <w:rPr>
          <w:rFonts w:ascii="Arial" w:hAnsi="Arial" w:cs="Arial"/>
        </w:rPr>
        <w:t xml:space="preserve"> Estado</w:t>
      </w:r>
      <w:r w:rsidR="007C047C">
        <w:rPr>
          <w:rFonts w:ascii="Arial" w:hAnsi="Arial" w:cs="Arial"/>
        </w:rPr>
        <w:t xml:space="preserve"> </w:t>
      </w:r>
      <w:r w:rsidR="00A973D4" w:rsidRPr="00A973D4">
        <w:rPr>
          <w:rFonts w:ascii="Arial" w:hAnsi="Arial" w:cs="Arial"/>
        </w:rPr>
        <w:t>actúa desde la doctrina de la situación irregular, la que primaba en</w:t>
      </w:r>
      <w:r w:rsidR="007C047C">
        <w:rPr>
          <w:rFonts w:ascii="Arial" w:hAnsi="Arial" w:cs="Arial"/>
        </w:rPr>
        <w:t xml:space="preserve"> </w:t>
      </w:r>
      <w:r w:rsidR="00A973D4" w:rsidRPr="00A973D4">
        <w:rPr>
          <w:rFonts w:ascii="Arial" w:hAnsi="Arial" w:cs="Arial"/>
        </w:rPr>
        <w:t>Chile hasta antes de la ratificación de la CDN, y que considera que</w:t>
      </w:r>
      <w:r w:rsidR="007C047C">
        <w:rPr>
          <w:rFonts w:ascii="Arial" w:hAnsi="Arial" w:cs="Arial"/>
        </w:rPr>
        <w:t xml:space="preserve"> </w:t>
      </w:r>
      <w:r w:rsidR="00A973D4" w:rsidRPr="00A973D4">
        <w:rPr>
          <w:rFonts w:ascii="Arial" w:hAnsi="Arial" w:cs="Arial"/>
        </w:rPr>
        <w:t>los niños y niñas son objetos de protección para el Estado con una</w:t>
      </w:r>
      <w:r w:rsidR="007C047C">
        <w:rPr>
          <w:rFonts w:ascii="Arial" w:hAnsi="Arial" w:cs="Arial"/>
        </w:rPr>
        <w:t xml:space="preserve"> </w:t>
      </w:r>
      <w:r w:rsidR="00A973D4" w:rsidRPr="00A973D4">
        <w:rPr>
          <w:rFonts w:ascii="Arial" w:hAnsi="Arial" w:cs="Arial"/>
        </w:rPr>
        <w:t>mirada asistencialista y centrada en el control social. Lo anterior significa</w:t>
      </w:r>
      <w:r w:rsidR="007C047C">
        <w:rPr>
          <w:rFonts w:ascii="Arial" w:hAnsi="Arial" w:cs="Arial"/>
        </w:rPr>
        <w:t xml:space="preserve"> </w:t>
      </w:r>
      <w:r w:rsidR="00A973D4" w:rsidRPr="00A973D4">
        <w:rPr>
          <w:rFonts w:ascii="Arial" w:hAnsi="Arial" w:cs="Arial"/>
        </w:rPr>
        <w:t>que interviene a las familias desde un concepto estigmatizado</w:t>
      </w:r>
      <w:r w:rsidR="00A973D4" w:rsidRPr="00A973D4">
        <w:t xml:space="preserve"> </w:t>
      </w:r>
      <w:r w:rsidR="00A973D4" w:rsidRPr="00A973D4">
        <w:rPr>
          <w:rFonts w:ascii="Arial" w:hAnsi="Arial" w:cs="Arial"/>
        </w:rPr>
        <w:t>de las mismas y no desde las verdaderas necesidades que tienen NNA</w:t>
      </w:r>
      <w:r w:rsidR="007C047C">
        <w:rPr>
          <w:rFonts w:ascii="Arial" w:hAnsi="Arial" w:cs="Arial"/>
        </w:rPr>
        <w:t xml:space="preserve"> </w:t>
      </w:r>
      <w:r w:rsidR="00A973D4" w:rsidRPr="00A973D4">
        <w:rPr>
          <w:rFonts w:ascii="Arial" w:hAnsi="Arial" w:cs="Arial"/>
        </w:rPr>
        <w:t>en el contexto de la vulneración de sus derechos.</w:t>
      </w:r>
    </w:p>
    <w:p w:rsidR="00A973D4" w:rsidRDefault="00A973D4" w:rsidP="00A973D4">
      <w:pPr>
        <w:spacing w:after="0" w:line="360" w:lineRule="auto"/>
        <w:ind w:firstLine="708"/>
        <w:jc w:val="both"/>
        <w:rPr>
          <w:rFonts w:ascii="Arial" w:hAnsi="Arial" w:cs="Arial"/>
        </w:rPr>
      </w:pP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SENAME en</w:t>
      </w:r>
      <w:r w:rsidR="007C047C">
        <w:rPr>
          <w:rFonts w:ascii="Arial" w:hAnsi="Arial" w:cs="Arial"/>
        </w:rPr>
        <w:t xml:space="preserve"> </w:t>
      </w:r>
      <w:r w:rsidRPr="00A973D4">
        <w:rPr>
          <w:rFonts w:ascii="Arial" w:hAnsi="Arial" w:cs="Arial"/>
        </w:rPr>
        <w:t>su Anuario Estadístico 2014, se mencionan las causales en virtud de</w:t>
      </w:r>
      <w:r w:rsidR="007C047C">
        <w:rPr>
          <w:rFonts w:ascii="Arial" w:hAnsi="Arial" w:cs="Arial"/>
        </w:rPr>
        <w:t xml:space="preserve"> </w:t>
      </w:r>
      <w:r w:rsidRPr="00A973D4">
        <w:rPr>
          <w:rFonts w:ascii="Arial" w:hAnsi="Arial" w:cs="Arial"/>
        </w:rPr>
        <w:t>las cuales los NNA ingresan de modo general al sistema de protección</w:t>
      </w:r>
      <w:r w:rsidR="007C047C">
        <w:rPr>
          <w:rFonts w:ascii="Arial" w:hAnsi="Arial" w:cs="Arial"/>
        </w:rPr>
        <w:t xml:space="preserve"> </w:t>
      </w:r>
      <w:r w:rsidRPr="00A973D4">
        <w:rPr>
          <w:rFonts w:ascii="Arial" w:hAnsi="Arial" w:cs="Arial"/>
        </w:rPr>
        <w:t>de derechos. En la mayoría de los casos no se hace mención específica</w:t>
      </w:r>
      <w:r w:rsidR="007C047C">
        <w:rPr>
          <w:rFonts w:ascii="Arial" w:hAnsi="Arial" w:cs="Arial"/>
        </w:rPr>
        <w:t xml:space="preserve"> </w:t>
      </w:r>
      <w:r w:rsidRPr="00A973D4">
        <w:rPr>
          <w:rFonts w:ascii="Arial" w:hAnsi="Arial" w:cs="Arial"/>
        </w:rPr>
        <w:t>a cuál es la situación de vulneración que está viviendo el NNA y que</w:t>
      </w:r>
      <w:r w:rsidR="007C047C">
        <w:rPr>
          <w:rFonts w:ascii="Arial" w:hAnsi="Arial" w:cs="Arial"/>
        </w:rPr>
        <w:t xml:space="preserve"> </w:t>
      </w:r>
      <w:r w:rsidRPr="00A973D4">
        <w:rPr>
          <w:rFonts w:ascii="Arial" w:hAnsi="Arial" w:cs="Arial"/>
        </w:rPr>
        <w:t>afecte su interés superior como para hacer necesaria la intervención</w:t>
      </w:r>
      <w:r w:rsidR="007C047C">
        <w:rPr>
          <w:rFonts w:ascii="Arial" w:hAnsi="Arial" w:cs="Arial"/>
        </w:rPr>
        <w:t xml:space="preserve"> </w:t>
      </w:r>
      <w:r w:rsidRPr="00A973D4">
        <w:rPr>
          <w:rFonts w:ascii="Arial" w:hAnsi="Arial" w:cs="Arial"/>
        </w:rPr>
        <w:t>del Estado. En el plano cuantitativo, figura un total de 111.440 NNA</w:t>
      </w:r>
      <w:r w:rsidR="007C047C">
        <w:rPr>
          <w:rFonts w:ascii="Arial" w:hAnsi="Arial" w:cs="Arial"/>
        </w:rPr>
        <w:t xml:space="preserve"> </w:t>
      </w:r>
      <w:r w:rsidRPr="00A973D4">
        <w:rPr>
          <w:rFonts w:ascii="Arial" w:hAnsi="Arial" w:cs="Arial"/>
        </w:rPr>
        <w:t>ingresados al sistema. El desglose es el siguiente:</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29.966 ingresan por solicitud de diagnóstico ambulatorio.</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43.292 a algún programa ambulatorio por ser víctima de abuso</w:t>
      </w:r>
      <w:r w:rsidR="00A854A9">
        <w:rPr>
          <w:rFonts w:ascii="Arial" w:hAnsi="Arial" w:cs="Arial"/>
        </w:rPr>
        <w:t xml:space="preserve"> </w:t>
      </w:r>
      <w:r w:rsidRPr="00A973D4">
        <w:rPr>
          <w:rFonts w:ascii="Arial" w:hAnsi="Arial" w:cs="Arial"/>
        </w:rPr>
        <w:t>sexual o maltrato.</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9.300 por prevención.</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13.212 por inhabilidad de uno o ambos padres.</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5.598 a través de una medida de protección.</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5.457 otros motivos sin especificar.</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1.954 por deserción escolar.</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xml:space="preserve">• 716 por una falta o delito no </w:t>
      </w:r>
      <w:proofErr w:type="spellStart"/>
      <w:r w:rsidRPr="00A973D4">
        <w:rPr>
          <w:rFonts w:ascii="Arial" w:hAnsi="Arial" w:cs="Arial"/>
        </w:rPr>
        <w:t>penalizable</w:t>
      </w:r>
      <w:proofErr w:type="spellEnd"/>
      <w:r w:rsidRPr="00A973D4">
        <w:rPr>
          <w:rFonts w:ascii="Arial" w:hAnsi="Arial" w:cs="Arial"/>
        </w:rPr>
        <w:t>.</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897 por tratarse de niños/as de la calle o en situación de trabajo</w:t>
      </w:r>
      <w:r w:rsidR="00A854A9">
        <w:rPr>
          <w:rFonts w:ascii="Arial" w:hAnsi="Arial" w:cs="Arial"/>
        </w:rPr>
        <w:t xml:space="preserve"> </w:t>
      </w:r>
      <w:r w:rsidRPr="00A973D4">
        <w:rPr>
          <w:rFonts w:ascii="Arial" w:hAnsi="Arial" w:cs="Arial"/>
        </w:rPr>
        <w:t>infantil.</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505 por problemas socioeconómico de sus familias.</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250 por ser víctimas de abandono o cedidos en adopción (cifra</w:t>
      </w:r>
      <w:r w:rsidR="00A854A9">
        <w:rPr>
          <w:rFonts w:ascii="Arial" w:hAnsi="Arial" w:cs="Arial"/>
        </w:rPr>
        <w:t xml:space="preserve"> </w:t>
      </w:r>
      <w:r w:rsidRPr="00A973D4">
        <w:rPr>
          <w:rFonts w:ascii="Arial" w:hAnsi="Arial" w:cs="Arial"/>
        </w:rPr>
        <w:t>sin desagregar).</w:t>
      </w:r>
    </w:p>
    <w:p w:rsidR="00A973D4" w:rsidRPr="00A973D4" w:rsidRDefault="00A973D4" w:rsidP="00A973D4">
      <w:pPr>
        <w:spacing w:after="0" w:line="360" w:lineRule="auto"/>
        <w:ind w:firstLine="708"/>
        <w:jc w:val="both"/>
        <w:rPr>
          <w:rFonts w:ascii="Arial" w:hAnsi="Arial" w:cs="Arial"/>
        </w:rPr>
      </w:pPr>
      <w:r w:rsidRPr="00A973D4">
        <w:rPr>
          <w:rFonts w:ascii="Arial" w:hAnsi="Arial" w:cs="Arial"/>
        </w:rPr>
        <w:t>• 158 nonatos en gestación.</w:t>
      </w:r>
    </w:p>
    <w:p w:rsidR="00A973D4" w:rsidRDefault="00A973D4" w:rsidP="00A973D4">
      <w:pPr>
        <w:spacing w:after="0" w:line="360" w:lineRule="auto"/>
        <w:ind w:firstLine="708"/>
        <w:jc w:val="both"/>
        <w:rPr>
          <w:rFonts w:ascii="Arial" w:hAnsi="Arial" w:cs="Arial"/>
        </w:rPr>
      </w:pPr>
      <w:r w:rsidRPr="00A973D4">
        <w:rPr>
          <w:rFonts w:ascii="Arial" w:hAnsi="Arial" w:cs="Arial"/>
        </w:rPr>
        <w:t>• 135 por consumo problemático de drogas.</w:t>
      </w:r>
    </w:p>
    <w:p w:rsidR="00B7307A" w:rsidRDefault="00B7307A" w:rsidP="00A973D4">
      <w:pPr>
        <w:spacing w:after="0" w:line="360" w:lineRule="auto"/>
        <w:ind w:firstLine="708"/>
        <w:jc w:val="both"/>
        <w:rPr>
          <w:rFonts w:ascii="Arial" w:hAnsi="Arial" w:cs="Arial"/>
        </w:rPr>
      </w:pPr>
    </w:p>
    <w:p w:rsidR="00B7307A" w:rsidRDefault="00B7307A" w:rsidP="00A973D4">
      <w:pPr>
        <w:spacing w:after="0" w:line="360" w:lineRule="auto"/>
        <w:ind w:firstLine="708"/>
        <w:jc w:val="both"/>
        <w:rPr>
          <w:rFonts w:ascii="Arial" w:hAnsi="Arial" w:cs="Arial"/>
        </w:rPr>
      </w:pPr>
      <w:r>
        <w:rPr>
          <w:rFonts w:ascii="Arial" w:hAnsi="Arial" w:cs="Arial"/>
        </w:rPr>
        <w:t xml:space="preserve">Respecto a los mecanismos para otorgar un medio </w:t>
      </w:r>
      <w:r w:rsidR="00932E60">
        <w:rPr>
          <w:rFonts w:ascii="Arial" w:hAnsi="Arial" w:cs="Arial"/>
        </w:rPr>
        <w:t>familiar adoptivo, se establece que la actual normativa de adopción no proporciona conceptos claros</w:t>
      </w:r>
      <w:r w:rsidR="0068444D">
        <w:rPr>
          <w:rFonts w:ascii="Arial" w:hAnsi="Arial" w:cs="Arial"/>
        </w:rPr>
        <w:t xml:space="preserve">. Se hace un </w:t>
      </w:r>
      <w:r w:rsidR="004A7651">
        <w:rPr>
          <w:rFonts w:ascii="Arial" w:hAnsi="Arial" w:cs="Arial"/>
        </w:rPr>
        <w:t xml:space="preserve">análisis del criterio “habilidades parentales”, “competencias parentales” e “inhabilidades parentales”. </w:t>
      </w:r>
    </w:p>
    <w:p w:rsidR="007B3F97" w:rsidRDefault="007B3F97" w:rsidP="007B3F97">
      <w:pPr>
        <w:spacing w:after="0" w:line="360" w:lineRule="auto"/>
        <w:ind w:firstLine="708"/>
        <w:jc w:val="both"/>
        <w:rPr>
          <w:rFonts w:ascii="Arial" w:hAnsi="Arial" w:cs="Arial"/>
        </w:rPr>
      </w:pPr>
      <w:r>
        <w:rPr>
          <w:rFonts w:ascii="Arial" w:hAnsi="Arial" w:cs="Arial"/>
        </w:rPr>
        <w:t>H</w:t>
      </w:r>
      <w:r w:rsidRPr="007B3F97">
        <w:rPr>
          <w:rFonts w:ascii="Arial" w:hAnsi="Arial" w:cs="Arial"/>
        </w:rPr>
        <w:t>ay niño/as quienes por</w:t>
      </w:r>
      <w:r>
        <w:rPr>
          <w:rFonts w:ascii="Arial" w:hAnsi="Arial" w:cs="Arial"/>
        </w:rPr>
        <w:t xml:space="preserve"> sus especiales condiciones, no </w:t>
      </w:r>
      <w:r w:rsidRPr="007B3F97">
        <w:rPr>
          <w:rFonts w:ascii="Arial" w:hAnsi="Arial" w:cs="Arial"/>
        </w:rPr>
        <w:t>cuentan con posibilidades de ser adoptados, por lo cual el SENAME</w:t>
      </w:r>
      <w:r>
        <w:rPr>
          <w:rFonts w:ascii="Arial" w:hAnsi="Arial" w:cs="Arial"/>
        </w:rPr>
        <w:t xml:space="preserve"> </w:t>
      </w:r>
      <w:r w:rsidRPr="007B3F97">
        <w:rPr>
          <w:rFonts w:ascii="Arial" w:hAnsi="Arial" w:cs="Arial"/>
        </w:rPr>
        <w:t>de antemano descarta la opción de solicitar la susceptibilidad. Lo anterior</w:t>
      </w:r>
      <w:r>
        <w:rPr>
          <w:rFonts w:ascii="Arial" w:hAnsi="Arial" w:cs="Arial"/>
        </w:rPr>
        <w:t xml:space="preserve"> </w:t>
      </w:r>
      <w:r w:rsidRPr="007B3F97">
        <w:rPr>
          <w:rFonts w:ascii="Arial" w:hAnsi="Arial" w:cs="Arial"/>
        </w:rPr>
        <w:t>se fundamenta en que se supone que no hay familias adoptivas</w:t>
      </w:r>
      <w:r>
        <w:rPr>
          <w:rFonts w:ascii="Arial" w:hAnsi="Arial" w:cs="Arial"/>
        </w:rPr>
        <w:t xml:space="preserve"> </w:t>
      </w:r>
      <w:r w:rsidRPr="007B3F97">
        <w:rPr>
          <w:rFonts w:ascii="Arial" w:hAnsi="Arial" w:cs="Arial"/>
        </w:rPr>
        <w:t>que estén interesadas en adoptar a niño/as que no cumplen con ciertos</w:t>
      </w:r>
      <w:r>
        <w:rPr>
          <w:rFonts w:ascii="Arial" w:hAnsi="Arial" w:cs="Arial"/>
        </w:rPr>
        <w:t xml:space="preserve"> </w:t>
      </w:r>
      <w:r w:rsidRPr="007B3F97">
        <w:rPr>
          <w:rFonts w:ascii="Arial" w:hAnsi="Arial" w:cs="Arial"/>
        </w:rPr>
        <w:t>criterios.</w:t>
      </w:r>
    </w:p>
    <w:p w:rsidR="007B3F97" w:rsidRDefault="007B3F97" w:rsidP="007B3F97">
      <w:pPr>
        <w:spacing w:after="0" w:line="360" w:lineRule="auto"/>
        <w:ind w:firstLine="708"/>
        <w:jc w:val="both"/>
        <w:rPr>
          <w:rFonts w:ascii="Arial" w:hAnsi="Arial" w:cs="Arial"/>
        </w:rPr>
      </w:pPr>
      <w:r w:rsidRPr="007B3F97">
        <w:rPr>
          <w:rFonts w:ascii="Arial" w:hAnsi="Arial" w:cs="Arial"/>
        </w:rPr>
        <w:t>Lo grave de la situación mencionada es que en muchos casos es posible</w:t>
      </w:r>
      <w:r>
        <w:rPr>
          <w:rFonts w:ascii="Arial" w:hAnsi="Arial" w:cs="Arial"/>
        </w:rPr>
        <w:t xml:space="preserve"> </w:t>
      </w:r>
      <w:r w:rsidRPr="007B3F97">
        <w:rPr>
          <w:rFonts w:ascii="Arial" w:hAnsi="Arial" w:cs="Arial"/>
        </w:rPr>
        <w:t>encontrar a niño/as en situación de abandono, pero, por su edad</w:t>
      </w:r>
      <w:r>
        <w:rPr>
          <w:rFonts w:ascii="Arial" w:hAnsi="Arial" w:cs="Arial"/>
        </w:rPr>
        <w:t xml:space="preserve"> </w:t>
      </w:r>
      <w:r w:rsidRPr="007B3F97">
        <w:rPr>
          <w:rFonts w:ascii="Arial" w:hAnsi="Arial" w:cs="Arial"/>
        </w:rPr>
        <w:t xml:space="preserve">o condición de salud, el Estado decide de antemano no </w:t>
      </w:r>
      <w:r w:rsidRPr="007B3F97">
        <w:rPr>
          <w:rFonts w:ascii="Arial" w:hAnsi="Arial" w:cs="Arial"/>
        </w:rPr>
        <w:lastRenderedPageBreak/>
        <w:t>abrir causa</w:t>
      </w:r>
      <w:r>
        <w:rPr>
          <w:rFonts w:ascii="Arial" w:hAnsi="Arial" w:cs="Arial"/>
        </w:rPr>
        <w:t xml:space="preserve"> </w:t>
      </w:r>
      <w:r w:rsidRPr="007B3F97">
        <w:rPr>
          <w:rFonts w:ascii="Arial" w:hAnsi="Arial" w:cs="Arial"/>
        </w:rPr>
        <w:t>de adopción, sin realizar siquiera los esfuerzos por buscar una familia</w:t>
      </w:r>
      <w:r>
        <w:rPr>
          <w:rFonts w:ascii="Arial" w:hAnsi="Arial" w:cs="Arial"/>
        </w:rPr>
        <w:t xml:space="preserve"> </w:t>
      </w:r>
      <w:r w:rsidRPr="007B3F97">
        <w:rPr>
          <w:rFonts w:ascii="Arial" w:hAnsi="Arial" w:cs="Arial"/>
        </w:rPr>
        <w:t>adoptiva. Esta situación se da fuera del margen de la legislación,</w:t>
      </w:r>
      <w:r>
        <w:rPr>
          <w:rFonts w:ascii="Arial" w:hAnsi="Arial" w:cs="Arial"/>
        </w:rPr>
        <w:t xml:space="preserve"> </w:t>
      </w:r>
      <w:r w:rsidRPr="007B3F97">
        <w:rPr>
          <w:rFonts w:ascii="Arial" w:hAnsi="Arial" w:cs="Arial"/>
        </w:rPr>
        <w:t>porque en la Ley 19.620 en ningún caso se establecen cuestiones relativas</w:t>
      </w:r>
      <w:r>
        <w:rPr>
          <w:rFonts w:ascii="Arial" w:hAnsi="Arial" w:cs="Arial"/>
        </w:rPr>
        <w:t xml:space="preserve"> </w:t>
      </w:r>
      <w:r w:rsidRPr="007B3F97">
        <w:rPr>
          <w:rFonts w:ascii="Arial" w:hAnsi="Arial" w:cs="Arial"/>
        </w:rPr>
        <w:t xml:space="preserve">a alguna declaración administrativa de </w:t>
      </w:r>
      <w:proofErr w:type="spellStart"/>
      <w:r w:rsidRPr="007B3F97">
        <w:rPr>
          <w:rFonts w:ascii="Arial" w:hAnsi="Arial" w:cs="Arial"/>
        </w:rPr>
        <w:t>adoptabilidad</w:t>
      </w:r>
      <w:proofErr w:type="spellEnd"/>
      <w:r w:rsidRPr="007B3F97">
        <w:rPr>
          <w:rFonts w:ascii="Arial" w:hAnsi="Arial" w:cs="Arial"/>
        </w:rPr>
        <w:t xml:space="preserve"> previa a</w:t>
      </w:r>
      <w:r>
        <w:rPr>
          <w:rFonts w:ascii="Arial" w:hAnsi="Arial" w:cs="Arial"/>
        </w:rPr>
        <w:t xml:space="preserve"> </w:t>
      </w:r>
      <w:r w:rsidRPr="007B3F97">
        <w:rPr>
          <w:rFonts w:ascii="Arial" w:hAnsi="Arial" w:cs="Arial"/>
        </w:rPr>
        <w:t>una declaración judicial, en cambio se señalan claramente cuáles son</w:t>
      </w:r>
      <w:r>
        <w:rPr>
          <w:rFonts w:ascii="Arial" w:hAnsi="Arial" w:cs="Arial"/>
        </w:rPr>
        <w:t xml:space="preserve"> </w:t>
      </w:r>
      <w:r w:rsidRPr="007B3F97">
        <w:rPr>
          <w:rFonts w:ascii="Arial" w:hAnsi="Arial" w:cs="Arial"/>
        </w:rPr>
        <w:t>las dos causales para que un NNA pueda ser declarado susceptible de</w:t>
      </w:r>
      <w:r>
        <w:rPr>
          <w:rFonts w:ascii="Arial" w:hAnsi="Arial" w:cs="Arial"/>
        </w:rPr>
        <w:t xml:space="preserve"> </w:t>
      </w:r>
      <w:r w:rsidRPr="007B3F97">
        <w:rPr>
          <w:rFonts w:ascii="Arial" w:hAnsi="Arial" w:cs="Arial"/>
        </w:rPr>
        <w:t>ser adoptado: abandono e inhabilidad parental,</w:t>
      </w:r>
    </w:p>
    <w:p w:rsidR="007B3F97" w:rsidRDefault="007B3F97" w:rsidP="007B3F97">
      <w:pPr>
        <w:spacing w:after="0" w:line="360" w:lineRule="auto"/>
        <w:ind w:firstLine="708"/>
        <w:jc w:val="both"/>
        <w:rPr>
          <w:rFonts w:ascii="Arial" w:hAnsi="Arial" w:cs="Arial"/>
        </w:rPr>
      </w:pPr>
      <w:r w:rsidRPr="007B3F97">
        <w:rPr>
          <w:rFonts w:ascii="Arial" w:hAnsi="Arial" w:cs="Arial"/>
        </w:rPr>
        <w:t>Se ha podido observar que para aquellos NNA que no cuentan con</w:t>
      </w:r>
      <w:r>
        <w:rPr>
          <w:rFonts w:ascii="Arial" w:hAnsi="Arial" w:cs="Arial"/>
        </w:rPr>
        <w:t xml:space="preserve"> </w:t>
      </w:r>
      <w:r w:rsidRPr="007B3F97">
        <w:rPr>
          <w:rFonts w:ascii="Arial" w:hAnsi="Arial" w:cs="Arial"/>
        </w:rPr>
        <w:t xml:space="preserve">lo que el SENAME denomina perfil de </w:t>
      </w:r>
      <w:proofErr w:type="spellStart"/>
      <w:r w:rsidRPr="007B3F97">
        <w:rPr>
          <w:rFonts w:ascii="Arial" w:hAnsi="Arial" w:cs="Arial"/>
        </w:rPr>
        <w:t>adoptabilidad</w:t>
      </w:r>
      <w:proofErr w:type="spellEnd"/>
      <w:r w:rsidRPr="007B3F97">
        <w:rPr>
          <w:rFonts w:ascii="Arial" w:hAnsi="Arial" w:cs="Arial"/>
        </w:rPr>
        <w:t>, la respuesta la</w:t>
      </w:r>
      <w:r>
        <w:rPr>
          <w:rFonts w:ascii="Arial" w:hAnsi="Arial" w:cs="Arial"/>
        </w:rPr>
        <w:t xml:space="preserve"> </w:t>
      </w:r>
      <w:r w:rsidRPr="007B3F97">
        <w:rPr>
          <w:rFonts w:ascii="Arial" w:hAnsi="Arial" w:cs="Arial"/>
        </w:rPr>
        <w:t>debiera dar el sistema de protección de derechos. Sin embargo, dicho</w:t>
      </w:r>
      <w:r>
        <w:rPr>
          <w:rFonts w:ascii="Arial" w:hAnsi="Arial" w:cs="Arial"/>
        </w:rPr>
        <w:t xml:space="preserve"> </w:t>
      </w:r>
      <w:r w:rsidRPr="007B3F97">
        <w:rPr>
          <w:rFonts w:ascii="Arial" w:hAnsi="Arial" w:cs="Arial"/>
        </w:rPr>
        <w:t>sistema carece de todas las herramientas necesarias para poder asegurar a</w:t>
      </w:r>
      <w:r>
        <w:rPr>
          <w:rFonts w:ascii="Arial" w:hAnsi="Arial" w:cs="Arial"/>
        </w:rPr>
        <w:t xml:space="preserve"> </w:t>
      </w:r>
      <w:r w:rsidRPr="007B3F97">
        <w:rPr>
          <w:rFonts w:ascii="Arial" w:hAnsi="Arial" w:cs="Arial"/>
        </w:rPr>
        <w:t>los NNA e</w:t>
      </w:r>
      <w:r>
        <w:rPr>
          <w:rFonts w:ascii="Arial" w:hAnsi="Arial" w:cs="Arial"/>
        </w:rPr>
        <w:t xml:space="preserve">l derecho a vivir en familia. </w:t>
      </w:r>
    </w:p>
    <w:p w:rsidR="002C2E14" w:rsidRDefault="002C2E14" w:rsidP="007B3F97">
      <w:pPr>
        <w:spacing w:after="0" w:line="360" w:lineRule="auto"/>
        <w:ind w:firstLine="708"/>
        <w:jc w:val="both"/>
        <w:rPr>
          <w:rFonts w:ascii="Arial" w:hAnsi="Arial" w:cs="Arial"/>
          <w:b/>
        </w:rPr>
      </w:pPr>
    </w:p>
    <w:p w:rsidR="007B3F97" w:rsidRPr="002C2E14" w:rsidRDefault="007B3F97" w:rsidP="007B3F97">
      <w:pPr>
        <w:spacing w:after="0" w:line="360" w:lineRule="auto"/>
        <w:ind w:firstLine="708"/>
        <w:jc w:val="both"/>
        <w:rPr>
          <w:rFonts w:ascii="Arial" w:hAnsi="Arial" w:cs="Arial"/>
          <w:b/>
        </w:rPr>
      </w:pPr>
      <w:r w:rsidRPr="002C2E14">
        <w:rPr>
          <w:rFonts w:ascii="Arial" w:hAnsi="Arial" w:cs="Arial"/>
          <w:b/>
        </w:rPr>
        <w:t>CONCLUSIONES</w:t>
      </w:r>
    </w:p>
    <w:p w:rsidR="007B3F97" w:rsidRPr="007B3F97" w:rsidRDefault="007B3F97" w:rsidP="007B3F97">
      <w:pPr>
        <w:spacing w:after="0" w:line="360" w:lineRule="auto"/>
        <w:ind w:firstLine="708"/>
        <w:jc w:val="both"/>
        <w:rPr>
          <w:rFonts w:ascii="Arial" w:hAnsi="Arial" w:cs="Arial"/>
        </w:rPr>
      </w:pPr>
      <w:r w:rsidRPr="007B3F97">
        <w:rPr>
          <w:rFonts w:ascii="Arial" w:hAnsi="Arial" w:cs="Arial"/>
        </w:rPr>
        <w:t>En atención a lo ya expuesto, se puede arribar a las siguientes conclusiones:</w:t>
      </w:r>
    </w:p>
    <w:p w:rsidR="007B3F97" w:rsidRDefault="007B3F97" w:rsidP="007B3F97">
      <w:pPr>
        <w:spacing w:after="0" w:line="360" w:lineRule="auto"/>
        <w:ind w:firstLine="708"/>
        <w:jc w:val="both"/>
        <w:rPr>
          <w:rFonts w:ascii="Arial" w:hAnsi="Arial" w:cs="Arial"/>
        </w:rPr>
      </w:pPr>
      <w:r w:rsidRPr="007B3F97">
        <w:rPr>
          <w:rFonts w:ascii="Arial" w:hAnsi="Arial" w:cs="Arial"/>
        </w:rPr>
        <w:t>a) El Estado de Chile no cuenta con una política de promoción</w:t>
      </w:r>
      <w:r>
        <w:rPr>
          <w:rFonts w:ascii="Arial" w:hAnsi="Arial" w:cs="Arial"/>
        </w:rPr>
        <w:t xml:space="preserve"> </w:t>
      </w:r>
      <w:r w:rsidRPr="007B3F97">
        <w:rPr>
          <w:rFonts w:ascii="Arial" w:hAnsi="Arial" w:cs="Arial"/>
        </w:rPr>
        <w:t>universal de derechos, y en este sentido no da cumplimiento a</w:t>
      </w:r>
      <w:r>
        <w:rPr>
          <w:rFonts w:ascii="Arial" w:hAnsi="Arial" w:cs="Arial"/>
        </w:rPr>
        <w:t xml:space="preserve"> </w:t>
      </w:r>
      <w:r w:rsidRPr="007B3F97">
        <w:rPr>
          <w:rFonts w:ascii="Arial" w:hAnsi="Arial" w:cs="Arial"/>
        </w:rPr>
        <w:t>ninguno de los estándares de derechos humanos para la efectividad</w:t>
      </w:r>
      <w:r>
        <w:rPr>
          <w:rFonts w:ascii="Arial" w:hAnsi="Arial" w:cs="Arial"/>
        </w:rPr>
        <w:t xml:space="preserve"> </w:t>
      </w:r>
      <w:r w:rsidRPr="007B3F97">
        <w:rPr>
          <w:rFonts w:ascii="Arial" w:hAnsi="Arial" w:cs="Arial"/>
        </w:rPr>
        <w:t>del derecho a vivir en familia de NNA.</w:t>
      </w:r>
    </w:p>
    <w:p w:rsidR="007B3F97" w:rsidRDefault="007B3F97" w:rsidP="007B3F97">
      <w:pPr>
        <w:spacing w:after="0" w:line="360" w:lineRule="auto"/>
        <w:ind w:firstLine="708"/>
        <w:jc w:val="both"/>
        <w:rPr>
          <w:rFonts w:ascii="Arial" w:hAnsi="Arial" w:cs="Arial"/>
        </w:rPr>
      </w:pPr>
      <w:proofErr w:type="gramStart"/>
      <w:r w:rsidRPr="007B3F97">
        <w:rPr>
          <w:rFonts w:ascii="Arial" w:hAnsi="Arial" w:cs="Arial"/>
        </w:rPr>
        <w:t>también</w:t>
      </w:r>
      <w:proofErr w:type="gramEnd"/>
      <w:r w:rsidRPr="007B3F97">
        <w:rPr>
          <w:rFonts w:ascii="Arial" w:hAnsi="Arial" w:cs="Arial"/>
        </w:rPr>
        <w:t xml:space="preserve"> carencias en cuanto al correcto ejercicio de sus derechos.</w:t>
      </w:r>
      <w:r>
        <w:rPr>
          <w:rFonts w:ascii="Arial" w:hAnsi="Arial" w:cs="Arial"/>
        </w:rPr>
        <w:t xml:space="preserve"> </w:t>
      </w:r>
      <w:r w:rsidRPr="007B3F97">
        <w:rPr>
          <w:rFonts w:ascii="Arial" w:hAnsi="Arial" w:cs="Arial"/>
        </w:rPr>
        <w:t>Falta de una respuesta estatal para aquellos casos de NNA que por</w:t>
      </w:r>
      <w:r>
        <w:rPr>
          <w:rFonts w:ascii="Arial" w:hAnsi="Arial" w:cs="Arial"/>
        </w:rPr>
        <w:t xml:space="preserve"> </w:t>
      </w:r>
      <w:r w:rsidRPr="007B3F97">
        <w:rPr>
          <w:rFonts w:ascii="Arial" w:hAnsi="Arial" w:cs="Arial"/>
        </w:rPr>
        <w:t>condiciones de salud, psicológicas o físicas no encuentran una familia</w:t>
      </w:r>
      <w:r>
        <w:rPr>
          <w:rFonts w:ascii="Arial" w:hAnsi="Arial" w:cs="Arial"/>
        </w:rPr>
        <w:t xml:space="preserve"> </w:t>
      </w:r>
      <w:r w:rsidRPr="007B3F97">
        <w:rPr>
          <w:rFonts w:ascii="Arial" w:hAnsi="Arial" w:cs="Arial"/>
        </w:rPr>
        <w:t>adoptiva que pueda hacerse cargo de ellos, quedando en situación</w:t>
      </w:r>
      <w:r>
        <w:rPr>
          <w:rFonts w:ascii="Arial" w:hAnsi="Arial" w:cs="Arial"/>
        </w:rPr>
        <w:t xml:space="preserve"> </w:t>
      </w:r>
      <w:r w:rsidRPr="007B3F97">
        <w:rPr>
          <w:rFonts w:ascii="Arial" w:hAnsi="Arial" w:cs="Arial"/>
        </w:rPr>
        <w:t>de abandono total y privados de su derecho a vivir en familia.</w:t>
      </w:r>
      <w:r>
        <w:rPr>
          <w:rFonts w:ascii="Arial" w:hAnsi="Arial" w:cs="Arial"/>
        </w:rPr>
        <w:t xml:space="preserve"> </w:t>
      </w:r>
      <w:r w:rsidRPr="007B3F97">
        <w:rPr>
          <w:rFonts w:ascii="Arial" w:hAnsi="Arial" w:cs="Arial"/>
        </w:rPr>
        <w:t>Falta de legislación y práctica sistémica en cuanto a asegurar el</w:t>
      </w:r>
      <w:r>
        <w:rPr>
          <w:rFonts w:ascii="Arial" w:hAnsi="Arial" w:cs="Arial"/>
        </w:rPr>
        <w:t xml:space="preserve"> </w:t>
      </w:r>
      <w:r w:rsidRPr="007B3F97">
        <w:rPr>
          <w:rFonts w:ascii="Arial" w:hAnsi="Arial" w:cs="Arial"/>
        </w:rPr>
        <w:t>derecho a la identidad de NNA.</w:t>
      </w:r>
    </w:p>
    <w:p w:rsidR="002C2E14" w:rsidRDefault="002C2E14" w:rsidP="007B3F97">
      <w:pPr>
        <w:spacing w:after="0" w:line="360" w:lineRule="auto"/>
        <w:ind w:firstLine="708"/>
        <w:jc w:val="both"/>
        <w:rPr>
          <w:rFonts w:ascii="Arial" w:hAnsi="Arial" w:cs="Arial"/>
          <w:b/>
        </w:rPr>
      </w:pPr>
    </w:p>
    <w:p w:rsidR="007B3F97" w:rsidRPr="002C2E14" w:rsidRDefault="007B3F97" w:rsidP="007B3F97">
      <w:pPr>
        <w:spacing w:after="0" w:line="360" w:lineRule="auto"/>
        <w:ind w:firstLine="708"/>
        <w:jc w:val="both"/>
        <w:rPr>
          <w:rFonts w:ascii="Arial" w:hAnsi="Arial" w:cs="Arial"/>
          <w:b/>
        </w:rPr>
      </w:pPr>
      <w:r w:rsidRPr="002C2E14">
        <w:rPr>
          <w:rFonts w:ascii="Arial" w:hAnsi="Arial" w:cs="Arial"/>
          <w:b/>
        </w:rPr>
        <w:t>RECOMENDACIONES</w:t>
      </w:r>
    </w:p>
    <w:p w:rsidR="007B3F97" w:rsidRDefault="007B3F97" w:rsidP="007B3F97">
      <w:pPr>
        <w:spacing w:after="0" w:line="360" w:lineRule="auto"/>
        <w:ind w:firstLine="708"/>
        <w:jc w:val="both"/>
        <w:rPr>
          <w:rFonts w:ascii="Arial" w:hAnsi="Arial" w:cs="Arial"/>
        </w:rPr>
      </w:pPr>
      <w:r w:rsidRPr="007B3F97">
        <w:rPr>
          <w:rFonts w:ascii="Arial" w:hAnsi="Arial" w:cs="Arial"/>
        </w:rPr>
        <w:t>De acuerdo a las conclusiones antes entregadas se le recomienda al</w:t>
      </w:r>
      <w:r>
        <w:rPr>
          <w:rFonts w:ascii="Arial" w:hAnsi="Arial" w:cs="Arial"/>
        </w:rPr>
        <w:t xml:space="preserve"> </w:t>
      </w:r>
      <w:r w:rsidRPr="007B3F97">
        <w:rPr>
          <w:rFonts w:ascii="Arial" w:hAnsi="Arial" w:cs="Arial"/>
        </w:rPr>
        <w:t>Estado:</w:t>
      </w:r>
    </w:p>
    <w:p w:rsidR="007B3F97" w:rsidRDefault="007B3F97" w:rsidP="007B3F97">
      <w:pPr>
        <w:spacing w:after="0" w:line="360" w:lineRule="auto"/>
        <w:ind w:firstLine="708"/>
        <w:jc w:val="both"/>
        <w:rPr>
          <w:rFonts w:ascii="Arial" w:hAnsi="Arial" w:cs="Arial"/>
        </w:rPr>
      </w:pPr>
      <w:r w:rsidRPr="007B3F97">
        <w:rPr>
          <w:rFonts w:ascii="Arial" w:hAnsi="Arial" w:cs="Arial"/>
        </w:rPr>
        <w:t>1. Crear un nuevo sistema de adopción de NNA acorde a la doctrina</w:t>
      </w:r>
      <w:r>
        <w:rPr>
          <w:rFonts w:ascii="Arial" w:hAnsi="Arial" w:cs="Arial"/>
        </w:rPr>
        <w:t xml:space="preserve"> </w:t>
      </w:r>
      <w:r w:rsidRPr="007B3F97">
        <w:rPr>
          <w:rFonts w:ascii="Arial" w:hAnsi="Arial" w:cs="Arial"/>
        </w:rPr>
        <w:t>de protección integral, y que se enfoque en restituir el derecho</w:t>
      </w:r>
      <w:r>
        <w:rPr>
          <w:rFonts w:ascii="Arial" w:hAnsi="Arial" w:cs="Arial"/>
        </w:rPr>
        <w:t xml:space="preserve"> </w:t>
      </w:r>
      <w:r w:rsidRPr="007B3F97">
        <w:rPr>
          <w:rFonts w:ascii="Arial" w:hAnsi="Arial" w:cs="Arial"/>
        </w:rPr>
        <w:t>a vivir en familia de aquellos NNA que se encuentran en situación</w:t>
      </w:r>
      <w:r>
        <w:rPr>
          <w:rFonts w:ascii="Arial" w:hAnsi="Arial" w:cs="Arial"/>
        </w:rPr>
        <w:t xml:space="preserve"> </w:t>
      </w:r>
      <w:r w:rsidRPr="007B3F97">
        <w:rPr>
          <w:rFonts w:ascii="Arial" w:hAnsi="Arial" w:cs="Arial"/>
        </w:rPr>
        <w:t>de abandono. Generar, además, acciones para que todo/s</w:t>
      </w:r>
      <w:r>
        <w:rPr>
          <w:rFonts w:ascii="Arial" w:hAnsi="Arial" w:cs="Arial"/>
        </w:rPr>
        <w:t xml:space="preserve"> </w:t>
      </w:r>
      <w:r w:rsidRPr="007B3F97">
        <w:rPr>
          <w:rFonts w:ascii="Arial" w:hAnsi="Arial" w:cs="Arial"/>
        </w:rPr>
        <w:t>los NNA que están en dicha condición puedan contar con una</w:t>
      </w:r>
      <w:r>
        <w:rPr>
          <w:rFonts w:ascii="Arial" w:hAnsi="Arial" w:cs="Arial"/>
        </w:rPr>
        <w:t xml:space="preserve"> </w:t>
      </w:r>
      <w:r w:rsidRPr="007B3F97">
        <w:rPr>
          <w:rFonts w:ascii="Arial" w:hAnsi="Arial" w:cs="Arial"/>
        </w:rPr>
        <w:t>familia adoptiva que los acoja.</w:t>
      </w:r>
    </w:p>
    <w:p w:rsidR="007B3F97" w:rsidRDefault="007B3F97" w:rsidP="007B3F97">
      <w:pPr>
        <w:spacing w:after="0" w:line="360" w:lineRule="auto"/>
        <w:ind w:firstLine="708"/>
        <w:jc w:val="both"/>
        <w:rPr>
          <w:rFonts w:ascii="Arial" w:hAnsi="Arial" w:cs="Arial"/>
        </w:rPr>
      </w:pPr>
    </w:p>
    <w:p w:rsidR="007B3F97" w:rsidRDefault="007B3F97" w:rsidP="007B3F97">
      <w:pPr>
        <w:spacing w:after="0" w:line="360" w:lineRule="auto"/>
        <w:ind w:firstLine="708"/>
        <w:jc w:val="both"/>
        <w:rPr>
          <w:rFonts w:ascii="Arial" w:hAnsi="Arial" w:cs="Arial"/>
        </w:rPr>
      </w:pPr>
    </w:p>
    <w:p w:rsidR="007B3F97" w:rsidRPr="007B3F97" w:rsidRDefault="007B3F97" w:rsidP="007B3F97">
      <w:pPr>
        <w:spacing w:after="0" w:line="360" w:lineRule="auto"/>
        <w:jc w:val="both"/>
        <w:rPr>
          <w:rFonts w:ascii="Arial" w:hAnsi="Arial" w:cs="Arial"/>
          <w:u w:val="single"/>
        </w:rPr>
      </w:pPr>
      <w:r w:rsidRPr="007B3F97">
        <w:rPr>
          <w:rFonts w:ascii="Arial" w:hAnsi="Arial" w:cs="Arial"/>
          <w:u w:val="single"/>
        </w:rPr>
        <w:t>Capítulo 10: Derechos de la diversidad sexual 2015: avances y falencias.</w:t>
      </w:r>
    </w:p>
    <w:p w:rsidR="007B3F97" w:rsidRDefault="007B3F97" w:rsidP="007B3F97">
      <w:pPr>
        <w:spacing w:after="0" w:line="360" w:lineRule="auto"/>
        <w:ind w:firstLine="708"/>
        <w:jc w:val="both"/>
        <w:rPr>
          <w:rFonts w:ascii="Arial" w:hAnsi="Arial" w:cs="Arial"/>
        </w:rPr>
      </w:pPr>
    </w:p>
    <w:p w:rsidR="005C4C2F" w:rsidRDefault="005C4C2F" w:rsidP="005C4C2F">
      <w:pPr>
        <w:spacing w:after="0" w:line="360" w:lineRule="auto"/>
        <w:ind w:firstLine="708"/>
        <w:jc w:val="both"/>
        <w:rPr>
          <w:rFonts w:ascii="Arial" w:hAnsi="Arial" w:cs="Arial"/>
        </w:rPr>
      </w:pPr>
      <w:r>
        <w:rPr>
          <w:rFonts w:ascii="Arial" w:hAnsi="Arial" w:cs="Arial"/>
        </w:rPr>
        <w:t xml:space="preserve">En este capítulo hace una revisión del estado de la cuestión acerca de los derechos de las personas LGTBI en Chile. </w:t>
      </w:r>
    </w:p>
    <w:p w:rsidR="00C50A87" w:rsidRDefault="005C4C2F" w:rsidP="00431DD9">
      <w:pPr>
        <w:spacing w:after="0" w:line="360" w:lineRule="auto"/>
        <w:ind w:firstLine="708"/>
        <w:jc w:val="both"/>
        <w:rPr>
          <w:rFonts w:ascii="Arial" w:hAnsi="Arial" w:cs="Arial"/>
        </w:rPr>
      </w:pPr>
      <w:r>
        <w:rPr>
          <w:rFonts w:ascii="Arial" w:hAnsi="Arial" w:cs="Arial"/>
        </w:rPr>
        <w:lastRenderedPageBreak/>
        <w:t xml:space="preserve">En primer término analiza los desarrollos legislativos. A este respecto </w:t>
      </w:r>
      <w:r w:rsidR="00C50A87">
        <w:rPr>
          <w:rFonts w:ascii="Arial" w:hAnsi="Arial" w:cs="Arial"/>
        </w:rPr>
        <w:t>lo primero que hace es</w:t>
      </w:r>
      <w:r w:rsidR="00431DD9">
        <w:rPr>
          <w:rFonts w:ascii="Arial" w:hAnsi="Arial" w:cs="Arial"/>
        </w:rPr>
        <w:t xml:space="preserve"> presentar a la</w:t>
      </w:r>
      <w:r>
        <w:rPr>
          <w:rFonts w:ascii="Arial" w:hAnsi="Arial" w:cs="Arial"/>
        </w:rPr>
        <w:t xml:space="preserve"> Unión Civil</w:t>
      </w:r>
      <w:r w:rsidR="00431DD9">
        <w:rPr>
          <w:rFonts w:ascii="Arial" w:hAnsi="Arial" w:cs="Arial"/>
        </w:rPr>
        <w:t xml:space="preserve"> como un nuevo instituto familiar robusto. Deja de manifiesto que las mejoras entre el proyecto original y la ley son en gran medida gracias a las propuestas de organizaciones de la diversidad sexual (nos cita). Destaca ciertas cuestiones; a saber:</w:t>
      </w:r>
      <w:r>
        <w:rPr>
          <w:rFonts w:ascii="Arial" w:hAnsi="Arial" w:cs="Arial"/>
        </w:rPr>
        <w:t xml:space="preserve"> estado civil, celebración ante oficial de Registro Civil, competencia de los tribunales de familia, </w:t>
      </w:r>
      <w:r w:rsidR="00431DD9">
        <w:rPr>
          <w:rFonts w:ascii="Arial" w:hAnsi="Arial" w:cs="Arial"/>
        </w:rPr>
        <w:t xml:space="preserve">la comunidad de bienes que se crea (regulación de todo tipo de bienes). </w:t>
      </w:r>
    </w:p>
    <w:p w:rsidR="00431DD9" w:rsidRPr="00431DD9" w:rsidRDefault="00431DD9" w:rsidP="00431DD9">
      <w:pPr>
        <w:spacing w:after="0" w:line="360" w:lineRule="auto"/>
        <w:ind w:firstLine="708"/>
        <w:jc w:val="both"/>
        <w:rPr>
          <w:rFonts w:ascii="Arial" w:hAnsi="Arial" w:cs="Arial"/>
        </w:rPr>
      </w:pPr>
      <w:r>
        <w:rPr>
          <w:rFonts w:ascii="Arial" w:hAnsi="Arial" w:cs="Arial"/>
        </w:rPr>
        <w:t xml:space="preserve">Asimismo, sin restar mérito al avance que significa esta institución, hace hincapié en ciertos aspectos inquietantes que no están resueltos. </w:t>
      </w:r>
      <w:r w:rsidR="00726B26">
        <w:rPr>
          <w:rFonts w:ascii="Arial" w:hAnsi="Arial" w:cs="Arial"/>
        </w:rPr>
        <w:t>En primer lugar, en que la</w:t>
      </w:r>
      <w:r w:rsidRPr="00431DD9">
        <w:rPr>
          <w:rFonts w:ascii="Arial" w:hAnsi="Arial" w:cs="Arial"/>
        </w:rPr>
        <w:t xml:space="preserve"> Ley 20.830 no</w:t>
      </w:r>
      <w:r>
        <w:rPr>
          <w:rFonts w:ascii="Arial" w:hAnsi="Arial" w:cs="Arial"/>
        </w:rPr>
        <w:t xml:space="preserve"> </w:t>
      </w:r>
      <w:r w:rsidRPr="00431DD9">
        <w:rPr>
          <w:rFonts w:ascii="Arial" w:hAnsi="Arial" w:cs="Arial"/>
        </w:rPr>
        <w:t>resuelve las problemáticas derivadas de la crianza efectuada por dos</w:t>
      </w:r>
      <w:r>
        <w:rPr>
          <w:rFonts w:ascii="Arial" w:hAnsi="Arial" w:cs="Arial"/>
        </w:rPr>
        <w:t xml:space="preserve"> </w:t>
      </w:r>
      <w:r w:rsidRPr="00431DD9">
        <w:rPr>
          <w:rFonts w:ascii="Arial" w:hAnsi="Arial" w:cs="Arial"/>
        </w:rPr>
        <w:t>madres o dos padres ni tampoco hace alguna referencia a la posibilidad</w:t>
      </w:r>
      <w:r>
        <w:rPr>
          <w:rFonts w:ascii="Arial" w:hAnsi="Arial" w:cs="Arial"/>
        </w:rPr>
        <w:t xml:space="preserve"> </w:t>
      </w:r>
      <w:r w:rsidRPr="00431DD9">
        <w:rPr>
          <w:rFonts w:ascii="Arial" w:hAnsi="Arial" w:cs="Arial"/>
        </w:rPr>
        <w:t>de que estas parejas puedan adoptar.</w:t>
      </w:r>
      <w:r>
        <w:rPr>
          <w:rFonts w:ascii="Arial" w:hAnsi="Arial" w:cs="Arial"/>
        </w:rPr>
        <w:t xml:space="preserve"> </w:t>
      </w:r>
      <w:r w:rsidR="00726B26">
        <w:rPr>
          <w:rFonts w:ascii="Arial" w:hAnsi="Arial" w:cs="Arial"/>
        </w:rPr>
        <w:t>En segundo lugar, en que l</w:t>
      </w:r>
      <w:r w:rsidRPr="00431DD9">
        <w:rPr>
          <w:rFonts w:ascii="Arial" w:hAnsi="Arial" w:cs="Arial"/>
        </w:rPr>
        <w:t>a publicidad propia del estado civil</w:t>
      </w:r>
      <w:r>
        <w:rPr>
          <w:rFonts w:ascii="Arial" w:hAnsi="Arial" w:cs="Arial"/>
        </w:rPr>
        <w:t xml:space="preserve"> </w:t>
      </w:r>
      <w:r w:rsidRPr="00431DD9">
        <w:rPr>
          <w:rFonts w:ascii="Arial" w:hAnsi="Arial" w:cs="Arial"/>
        </w:rPr>
        <w:t>podría implicar que la pesquisa de la homosexualidad se pueda ver</w:t>
      </w:r>
      <w:r>
        <w:rPr>
          <w:rFonts w:ascii="Arial" w:hAnsi="Arial" w:cs="Arial"/>
        </w:rPr>
        <w:t xml:space="preserve"> </w:t>
      </w:r>
      <w:r w:rsidRPr="00431DD9">
        <w:rPr>
          <w:rFonts w:ascii="Arial" w:hAnsi="Arial" w:cs="Arial"/>
        </w:rPr>
        <w:t>facilitada, sobre todo si se considera que la celebración de u</w:t>
      </w:r>
      <w:r>
        <w:rPr>
          <w:rFonts w:ascii="Arial" w:hAnsi="Arial" w:cs="Arial"/>
        </w:rPr>
        <w:t>na unión civil d</w:t>
      </w:r>
      <w:r w:rsidRPr="00431DD9">
        <w:rPr>
          <w:rFonts w:ascii="Arial" w:hAnsi="Arial" w:cs="Arial"/>
        </w:rPr>
        <w:t>eberá ser consignada en un acta que será registrada por el funcionario</w:t>
      </w:r>
      <w:r>
        <w:rPr>
          <w:rFonts w:ascii="Arial" w:hAnsi="Arial" w:cs="Arial"/>
        </w:rPr>
        <w:t xml:space="preserve"> </w:t>
      </w:r>
      <w:r w:rsidRPr="00431DD9">
        <w:rPr>
          <w:rFonts w:ascii="Arial" w:hAnsi="Arial" w:cs="Arial"/>
        </w:rPr>
        <w:t>que intervenga en el trámite y que</w:t>
      </w:r>
      <w:r w:rsidRPr="00431DD9">
        <w:t xml:space="preserve"> </w:t>
      </w:r>
      <w:r w:rsidRPr="00431DD9">
        <w:rPr>
          <w:rFonts w:ascii="Arial" w:hAnsi="Arial" w:cs="Arial"/>
        </w:rPr>
        <w:t>se extenderán certificados, tal como</w:t>
      </w:r>
      <w:r>
        <w:rPr>
          <w:rFonts w:ascii="Arial" w:hAnsi="Arial" w:cs="Arial"/>
        </w:rPr>
        <w:t xml:space="preserve"> </w:t>
      </w:r>
      <w:r w:rsidRPr="00431DD9">
        <w:rPr>
          <w:rFonts w:ascii="Arial" w:hAnsi="Arial" w:cs="Arial"/>
        </w:rPr>
        <w:t>sucede en el caso del matrimonio.</w:t>
      </w:r>
    </w:p>
    <w:p w:rsidR="00431DD9" w:rsidRDefault="00431DD9" w:rsidP="00431DD9">
      <w:pPr>
        <w:spacing w:after="0" w:line="360" w:lineRule="auto"/>
        <w:ind w:firstLine="708"/>
        <w:jc w:val="both"/>
        <w:rPr>
          <w:rFonts w:ascii="Arial" w:hAnsi="Arial" w:cs="Arial"/>
        </w:rPr>
      </w:pPr>
      <w:r w:rsidRPr="00431DD9">
        <w:rPr>
          <w:rFonts w:ascii="Arial" w:hAnsi="Arial" w:cs="Arial"/>
        </w:rPr>
        <w:t>El análisis de estos dos aspectos críticos derivados del AUC pone de</w:t>
      </w:r>
      <w:r>
        <w:rPr>
          <w:rFonts w:ascii="Arial" w:hAnsi="Arial" w:cs="Arial"/>
        </w:rPr>
        <w:t xml:space="preserve"> </w:t>
      </w:r>
      <w:r w:rsidRPr="00431DD9">
        <w:rPr>
          <w:rFonts w:ascii="Arial" w:hAnsi="Arial" w:cs="Arial"/>
        </w:rPr>
        <w:t>manifiesto que</w:t>
      </w:r>
      <w:r>
        <w:rPr>
          <w:rFonts w:ascii="Arial" w:hAnsi="Arial" w:cs="Arial"/>
        </w:rPr>
        <w:t xml:space="preserve"> </w:t>
      </w:r>
      <w:r w:rsidRPr="00431DD9">
        <w:rPr>
          <w:rFonts w:ascii="Arial" w:hAnsi="Arial" w:cs="Arial"/>
        </w:rPr>
        <w:t>aún subsisten fuertes</w:t>
      </w:r>
      <w:r>
        <w:rPr>
          <w:rFonts w:ascii="Arial" w:hAnsi="Arial" w:cs="Arial"/>
        </w:rPr>
        <w:t xml:space="preserve"> </w:t>
      </w:r>
      <w:r w:rsidRPr="00431DD9">
        <w:rPr>
          <w:rFonts w:ascii="Arial" w:hAnsi="Arial" w:cs="Arial"/>
        </w:rPr>
        <w:t>condiciones culturales que impiden considerar a la homosexualidad</w:t>
      </w:r>
      <w:r>
        <w:rPr>
          <w:rFonts w:ascii="Arial" w:hAnsi="Arial" w:cs="Arial"/>
        </w:rPr>
        <w:t xml:space="preserve"> </w:t>
      </w:r>
      <w:r w:rsidRPr="00431DD9">
        <w:rPr>
          <w:rFonts w:ascii="Arial" w:hAnsi="Arial" w:cs="Arial"/>
        </w:rPr>
        <w:t>como una característica personal neutra.</w:t>
      </w:r>
    </w:p>
    <w:p w:rsidR="00C50A87" w:rsidRDefault="00C50A87" w:rsidP="00C50A87">
      <w:pPr>
        <w:spacing w:after="0" w:line="360" w:lineRule="auto"/>
        <w:ind w:firstLine="708"/>
        <w:jc w:val="both"/>
        <w:rPr>
          <w:rFonts w:ascii="Arial" w:hAnsi="Arial" w:cs="Arial"/>
        </w:rPr>
      </w:pPr>
      <w:r>
        <w:rPr>
          <w:rFonts w:ascii="Arial" w:hAnsi="Arial" w:cs="Arial"/>
        </w:rPr>
        <w:t xml:space="preserve">Continuando con los desarrollos legislativos se efectúa un somero análisis del proyecto de Ley de Identidad de Género, analizando el objeto del mismo, presentando cuestionamientos desde la Fundación Jaime Guzmán y de los profesores Álvaro Ferrer (PUC) y Hernán Corral (U Andes). En cuanto a la tramitación del proyecto consideran los autores que se ha desarrollado de manera lenta y errática. Establecen que la principal responsable de esta situación es la Senadora Van </w:t>
      </w:r>
      <w:proofErr w:type="spellStart"/>
      <w:r>
        <w:rPr>
          <w:rFonts w:ascii="Arial" w:hAnsi="Arial" w:cs="Arial"/>
        </w:rPr>
        <w:t>Rysselberghe</w:t>
      </w:r>
      <w:proofErr w:type="spellEnd"/>
      <w:r>
        <w:rPr>
          <w:rFonts w:ascii="Arial" w:hAnsi="Arial" w:cs="Arial"/>
        </w:rPr>
        <w:t xml:space="preserve">. </w:t>
      </w:r>
    </w:p>
    <w:p w:rsidR="00C50A87" w:rsidRDefault="00C50A87" w:rsidP="00C50A87">
      <w:pPr>
        <w:spacing w:after="0" w:line="360" w:lineRule="auto"/>
        <w:ind w:firstLine="708"/>
        <w:jc w:val="both"/>
        <w:rPr>
          <w:rFonts w:ascii="Arial" w:hAnsi="Arial" w:cs="Arial"/>
        </w:rPr>
      </w:pPr>
      <w:r>
        <w:rPr>
          <w:rFonts w:ascii="Arial" w:hAnsi="Arial" w:cs="Arial"/>
        </w:rPr>
        <w:t xml:space="preserve">En un segundo apartado se analizan las actuaciones de tribunales. </w:t>
      </w:r>
      <w:r w:rsidR="002C2E14">
        <w:rPr>
          <w:rFonts w:ascii="Arial" w:hAnsi="Arial" w:cs="Arial"/>
        </w:rPr>
        <w:t>Comienza</w:t>
      </w:r>
      <w:r>
        <w:rPr>
          <w:rFonts w:ascii="Arial" w:hAnsi="Arial" w:cs="Arial"/>
        </w:rPr>
        <w:t xml:space="preserve"> analizando el pronunciamiento del Tribunal Constitucional en que se rechaza la inaplicabilidad del numeral 4° del artículo 54 de la  Ley de Matrimonio Civil, que establece la conducta homosexual como causal de divorcio por culpa. Se rescata el voto minoritario  que establece la citada norma que </w:t>
      </w:r>
      <w:r w:rsidRPr="00C50A87">
        <w:rPr>
          <w:rFonts w:ascii="Arial" w:hAnsi="Arial" w:cs="Arial"/>
        </w:rPr>
        <w:t>atenta contra el estándar</w:t>
      </w:r>
      <w:r>
        <w:rPr>
          <w:rFonts w:ascii="Arial" w:hAnsi="Arial" w:cs="Arial"/>
        </w:rPr>
        <w:t xml:space="preserve"> </w:t>
      </w:r>
      <w:r w:rsidRPr="00C50A87">
        <w:rPr>
          <w:rFonts w:ascii="Arial" w:hAnsi="Arial" w:cs="Arial"/>
        </w:rPr>
        <w:t>de igualdad, en tanto la defensa de la dimensión heterosexual del</w:t>
      </w:r>
      <w:r>
        <w:rPr>
          <w:rFonts w:ascii="Arial" w:hAnsi="Arial" w:cs="Arial"/>
        </w:rPr>
        <w:t xml:space="preserve"> </w:t>
      </w:r>
      <w:r w:rsidRPr="00C50A87">
        <w:rPr>
          <w:rFonts w:ascii="Arial" w:hAnsi="Arial" w:cs="Arial"/>
        </w:rPr>
        <w:t>matrimonio implicaría tener un exigente estándar para la infidelidad</w:t>
      </w:r>
      <w:r>
        <w:rPr>
          <w:rFonts w:ascii="Arial" w:hAnsi="Arial" w:cs="Arial"/>
        </w:rPr>
        <w:t xml:space="preserve"> </w:t>
      </w:r>
      <w:r w:rsidRPr="00C50A87">
        <w:rPr>
          <w:rFonts w:ascii="Arial" w:hAnsi="Arial" w:cs="Arial"/>
        </w:rPr>
        <w:t>heterosexual y una elástica, ambigua e interpretable “conducta homosexual”</w:t>
      </w:r>
      <w:r>
        <w:rPr>
          <w:rFonts w:ascii="Arial" w:hAnsi="Arial" w:cs="Arial"/>
        </w:rPr>
        <w:t xml:space="preserve"> </w:t>
      </w:r>
      <w:r w:rsidRPr="00C50A87">
        <w:rPr>
          <w:rFonts w:ascii="Arial" w:hAnsi="Arial" w:cs="Arial"/>
        </w:rPr>
        <w:t>para identificar una infracción grave a los deberes del matrimonio.</w:t>
      </w:r>
      <w:r>
        <w:rPr>
          <w:rFonts w:ascii="Arial" w:hAnsi="Arial" w:cs="Arial"/>
        </w:rPr>
        <w:t xml:space="preserve">  </w:t>
      </w:r>
    </w:p>
    <w:p w:rsidR="001D0AB7" w:rsidRDefault="001D0AB7" w:rsidP="001D0AB7">
      <w:pPr>
        <w:spacing w:after="0" w:line="360" w:lineRule="auto"/>
        <w:ind w:firstLine="708"/>
        <w:jc w:val="both"/>
        <w:rPr>
          <w:rFonts w:ascii="Arial" w:hAnsi="Arial" w:cs="Arial"/>
        </w:rPr>
      </w:pPr>
      <w:r>
        <w:rPr>
          <w:rFonts w:ascii="Arial" w:hAnsi="Arial" w:cs="Arial"/>
        </w:rPr>
        <w:t>Luego, se analiza la situación de los tribunales ordinarios y el libro “Nicolás tiene dos papás”. Se rescata especialmente el fallo de la Corte de Apelaciones de Punta Arenas, que a propósito de la inexistencia de una definición</w:t>
      </w:r>
      <w:r w:rsidR="002C2E14">
        <w:rPr>
          <w:rFonts w:ascii="Arial" w:hAnsi="Arial" w:cs="Arial"/>
        </w:rPr>
        <w:t xml:space="preserve"> </w:t>
      </w:r>
      <w:r>
        <w:rPr>
          <w:rFonts w:ascii="Arial" w:hAnsi="Arial" w:cs="Arial"/>
        </w:rPr>
        <w:t>de familia en nuestro ordenamiento jurídico señala que “</w:t>
      </w:r>
      <w:r w:rsidRPr="001D0AB7">
        <w:rPr>
          <w:rFonts w:ascii="Arial" w:hAnsi="Arial" w:cs="Arial"/>
        </w:rPr>
        <w:t>a falta</w:t>
      </w:r>
      <w:r>
        <w:rPr>
          <w:rFonts w:ascii="Arial" w:hAnsi="Arial" w:cs="Arial"/>
        </w:rPr>
        <w:t xml:space="preserve"> </w:t>
      </w:r>
      <w:r w:rsidRPr="001D0AB7">
        <w:rPr>
          <w:rFonts w:ascii="Arial" w:hAnsi="Arial" w:cs="Arial"/>
        </w:rPr>
        <w:t>de regulación no significa, de por sí, negación de la existencia de</w:t>
      </w:r>
      <w:r>
        <w:rPr>
          <w:rFonts w:ascii="Arial" w:hAnsi="Arial" w:cs="Arial"/>
        </w:rPr>
        <w:t xml:space="preserve"> </w:t>
      </w:r>
      <w:r w:rsidRPr="001D0AB7">
        <w:rPr>
          <w:rFonts w:ascii="Arial" w:hAnsi="Arial" w:cs="Arial"/>
        </w:rPr>
        <w:t xml:space="preserve">diversos figuras de organización de </w:t>
      </w:r>
      <w:r w:rsidRPr="001D0AB7">
        <w:rPr>
          <w:rFonts w:ascii="Arial" w:hAnsi="Arial" w:cs="Arial"/>
        </w:rPr>
        <w:lastRenderedPageBreak/>
        <w:t>grupos humanos, con rasgos</w:t>
      </w:r>
      <w:r>
        <w:rPr>
          <w:rFonts w:ascii="Arial" w:hAnsi="Arial" w:cs="Arial"/>
        </w:rPr>
        <w:t xml:space="preserve"> c</w:t>
      </w:r>
      <w:r w:rsidRPr="001D0AB7">
        <w:rPr>
          <w:rFonts w:ascii="Arial" w:hAnsi="Arial" w:cs="Arial"/>
        </w:rPr>
        <w:t>omunes</w:t>
      </w:r>
      <w:r>
        <w:rPr>
          <w:rFonts w:ascii="Arial" w:hAnsi="Arial" w:cs="Arial"/>
        </w:rPr>
        <w:t xml:space="preserve"> </w:t>
      </w:r>
      <w:r w:rsidRPr="001D0AB7">
        <w:rPr>
          <w:rFonts w:ascii="Arial" w:hAnsi="Arial" w:cs="Arial"/>
        </w:rPr>
        <w:t xml:space="preserve">identificables </w:t>
      </w:r>
      <w:r>
        <w:rPr>
          <w:rFonts w:ascii="Arial" w:hAnsi="Arial" w:cs="Arial"/>
        </w:rPr>
        <w:t xml:space="preserve">como características familiares” y que hace un análisis de esta institución a la luz de la Convención sobre los Derecho del Niño. </w:t>
      </w:r>
    </w:p>
    <w:p w:rsidR="0007236A" w:rsidRDefault="0007236A" w:rsidP="0007236A">
      <w:pPr>
        <w:spacing w:after="0" w:line="360" w:lineRule="auto"/>
        <w:ind w:firstLine="708"/>
        <w:jc w:val="both"/>
        <w:rPr>
          <w:rFonts w:ascii="Arial" w:hAnsi="Arial" w:cs="Arial"/>
        </w:rPr>
      </w:pPr>
      <w:r>
        <w:rPr>
          <w:rFonts w:ascii="Arial" w:hAnsi="Arial" w:cs="Arial"/>
        </w:rPr>
        <w:t xml:space="preserve">A continuación se analiza el actuar de los Tribunales de Familia, en que se destaca en materia de reconocimiento de maternidad o paternidad el caso de </w:t>
      </w:r>
      <w:proofErr w:type="spellStart"/>
      <w:r>
        <w:rPr>
          <w:rFonts w:ascii="Arial" w:hAnsi="Arial" w:cs="Arial"/>
        </w:rPr>
        <w:t>Valeska</w:t>
      </w:r>
      <w:proofErr w:type="spellEnd"/>
      <w:r>
        <w:rPr>
          <w:rFonts w:ascii="Arial" w:hAnsi="Arial" w:cs="Arial"/>
        </w:rPr>
        <w:t xml:space="preserve"> Silva, </w:t>
      </w:r>
      <w:r w:rsidR="00290091">
        <w:rPr>
          <w:rFonts w:ascii="Arial" w:hAnsi="Arial" w:cs="Arial"/>
        </w:rPr>
        <w:t>se trata de una</w:t>
      </w:r>
      <w:r w:rsidRPr="0007236A">
        <w:rPr>
          <w:rFonts w:ascii="Arial" w:hAnsi="Arial" w:cs="Arial"/>
        </w:rPr>
        <w:t xml:space="preserve"> resolución</w:t>
      </w:r>
      <w:r w:rsidR="00290091">
        <w:rPr>
          <w:rFonts w:ascii="Arial" w:hAnsi="Arial" w:cs="Arial"/>
        </w:rPr>
        <w:t xml:space="preserve"> que</w:t>
      </w:r>
      <w:r w:rsidRPr="0007236A">
        <w:rPr>
          <w:rFonts w:ascii="Arial" w:hAnsi="Arial" w:cs="Arial"/>
        </w:rPr>
        <w:t xml:space="preserve"> marca un hito muy relevante</w:t>
      </w:r>
      <w:r>
        <w:rPr>
          <w:rFonts w:ascii="Arial" w:hAnsi="Arial" w:cs="Arial"/>
        </w:rPr>
        <w:t xml:space="preserve"> </w:t>
      </w:r>
      <w:r w:rsidRPr="0007236A">
        <w:rPr>
          <w:rFonts w:ascii="Arial" w:hAnsi="Arial" w:cs="Arial"/>
        </w:rPr>
        <w:t>en la lucha dada por las madres lesbianas, toda vez que es primera</w:t>
      </w:r>
      <w:r>
        <w:rPr>
          <w:rFonts w:ascii="Arial" w:hAnsi="Arial" w:cs="Arial"/>
        </w:rPr>
        <w:t xml:space="preserve"> </w:t>
      </w:r>
      <w:r w:rsidRPr="0007236A">
        <w:rPr>
          <w:rFonts w:ascii="Arial" w:hAnsi="Arial" w:cs="Arial"/>
        </w:rPr>
        <w:t>vez que un tribunal conoce en el fondo del asunto y resuelve a favor</w:t>
      </w:r>
      <w:r>
        <w:rPr>
          <w:rFonts w:ascii="Arial" w:hAnsi="Arial" w:cs="Arial"/>
        </w:rPr>
        <w:t xml:space="preserve"> </w:t>
      </w:r>
      <w:r w:rsidRPr="0007236A">
        <w:rPr>
          <w:rFonts w:ascii="Arial" w:hAnsi="Arial" w:cs="Arial"/>
        </w:rPr>
        <w:t>de ellas, a la luz de principios del dere</w:t>
      </w:r>
      <w:r>
        <w:rPr>
          <w:rFonts w:ascii="Arial" w:hAnsi="Arial" w:cs="Arial"/>
        </w:rPr>
        <w:t>cho internacional de los dere</w:t>
      </w:r>
      <w:r w:rsidRPr="0007236A">
        <w:rPr>
          <w:rFonts w:ascii="Arial" w:hAnsi="Arial" w:cs="Arial"/>
        </w:rPr>
        <w:t>chos humanos, en ausencia de normas internas que pudieran resolver</w:t>
      </w:r>
      <w:r>
        <w:rPr>
          <w:rFonts w:ascii="Arial" w:hAnsi="Arial" w:cs="Arial"/>
        </w:rPr>
        <w:t xml:space="preserve"> </w:t>
      </w:r>
      <w:r w:rsidRPr="0007236A">
        <w:rPr>
          <w:rFonts w:ascii="Arial" w:hAnsi="Arial" w:cs="Arial"/>
        </w:rPr>
        <w:t>el conflicto</w:t>
      </w:r>
      <w:r w:rsidR="00290091">
        <w:rPr>
          <w:rFonts w:ascii="Arial" w:hAnsi="Arial" w:cs="Arial"/>
        </w:rPr>
        <w:t>.</w:t>
      </w:r>
    </w:p>
    <w:p w:rsidR="00290091" w:rsidRDefault="00290091" w:rsidP="0007236A">
      <w:pPr>
        <w:spacing w:after="0" w:line="360" w:lineRule="auto"/>
        <w:ind w:firstLine="708"/>
        <w:jc w:val="both"/>
        <w:rPr>
          <w:rFonts w:ascii="Arial" w:hAnsi="Arial" w:cs="Arial"/>
        </w:rPr>
      </w:pPr>
      <w:r>
        <w:rPr>
          <w:rFonts w:ascii="Arial" w:hAnsi="Arial" w:cs="Arial"/>
        </w:rPr>
        <w:t xml:space="preserve">Como último caso en este apartado se hace una breve análisis de la evolución jurisprudencial que han sufrido los tribunales civiles al conocer de solicitudes de cambio de nombre y sexo registral, citándose ciertos casos emblemáticos en que destaca que no se exigen </w:t>
      </w:r>
      <w:proofErr w:type="spellStart"/>
      <w:r>
        <w:rPr>
          <w:rFonts w:ascii="Arial" w:hAnsi="Arial" w:cs="Arial"/>
        </w:rPr>
        <w:t>plastías</w:t>
      </w:r>
      <w:proofErr w:type="spellEnd"/>
      <w:r>
        <w:rPr>
          <w:rFonts w:ascii="Arial" w:hAnsi="Arial" w:cs="Arial"/>
        </w:rPr>
        <w:t xml:space="preserve"> ni tampoco peritajes corporales ni psicológicos ante el Servicio Médico Legal, cuestiones que antes se solicitaban hasta hace poco sin ningún asidero legal. </w:t>
      </w:r>
    </w:p>
    <w:p w:rsidR="00080BCD" w:rsidRPr="00080BCD" w:rsidRDefault="00080BCD" w:rsidP="00080BCD">
      <w:pPr>
        <w:spacing w:after="0" w:line="360" w:lineRule="auto"/>
        <w:ind w:firstLine="708"/>
        <w:jc w:val="both"/>
        <w:rPr>
          <w:rFonts w:ascii="Arial" w:hAnsi="Arial" w:cs="Arial"/>
        </w:rPr>
      </w:pPr>
      <w:r>
        <w:rPr>
          <w:rFonts w:ascii="Arial" w:hAnsi="Arial" w:cs="Arial"/>
        </w:rPr>
        <w:t>Por último, el informe pone de manifiesto cuatro casos en que jóvenes fueron asesinados con</w:t>
      </w:r>
      <w:r w:rsidRPr="00080BCD">
        <w:rPr>
          <w:rFonts w:ascii="Arial" w:hAnsi="Arial" w:cs="Arial"/>
        </w:rPr>
        <w:t xml:space="preserve"> ensañamiento y violencia–que</w:t>
      </w:r>
      <w:r>
        <w:rPr>
          <w:rFonts w:ascii="Arial" w:hAnsi="Arial" w:cs="Arial"/>
        </w:rPr>
        <w:t xml:space="preserve"> </w:t>
      </w:r>
      <w:r w:rsidRPr="00080BCD">
        <w:rPr>
          <w:rFonts w:ascii="Arial" w:hAnsi="Arial" w:cs="Arial"/>
        </w:rPr>
        <w:t>son la expresión más dramática de la violencia física y psicológica cotidiana</w:t>
      </w:r>
      <w:r>
        <w:rPr>
          <w:rFonts w:ascii="Arial" w:hAnsi="Arial" w:cs="Arial"/>
        </w:rPr>
        <w:t xml:space="preserve"> </w:t>
      </w:r>
      <w:r w:rsidRPr="00080BCD">
        <w:rPr>
          <w:rFonts w:ascii="Arial" w:hAnsi="Arial" w:cs="Arial"/>
        </w:rPr>
        <w:t>ejercida contra perso</w:t>
      </w:r>
      <w:r>
        <w:rPr>
          <w:rFonts w:ascii="Arial" w:hAnsi="Arial" w:cs="Arial"/>
        </w:rPr>
        <w:t>nas homosexuales y transexuales–situaciones que</w:t>
      </w:r>
      <w:r w:rsidRPr="00080BCD">
        <w:rPr>
          <w:rFonts w:ascii="Arial" w:hAnsi="Arial" w:cs="Arial"/>
        </w:rPr>
        <w:t xml:space="preserve"> indica</w:t>
      </w:r>
      <w:r>
        <w:rPr>
          <w:rFonts w:ascii="Arial" w:hAnsi="Arial" w:cs="Arial"/>
        </w:rPr>
        <w:t>n</w:t>
      </w:r>
      <w:r w:rsidRPr="00080BCD">
        <w:rPr>
          <w:rFonts w:ascii="Arial" w:hAnsi="Arial" w:cs="Arial"/>
        </w:rPr>
        <w:t xml:space="preserve"> que en materia de respeto a las</w:t>
      </w:r>
      <w:r>
        <w:rPr>
          <w:rFonts w:ascii="Arial" w:hAnsi="Arial" w:cs="Arial"/>
        </w:rPr>
        <w:t xml:space="preserve"> </w:t>
      </w:r>
      <w:r w:rsidRPr="00080BCD">
        <w:rPr>
          <w:rFonts w:ascii="Arial" w:hAnsi="Arial" w:cs="Arial"/>
        </w:rPr>
        <w:t>personas LGTBI aún falta mucho por hacer en nuestro país, incluyendo</w:t>
      </w:r>
      <w:r>
        <w:rPr>
          <w:rFonts w:ascii="Arial" w:hAnsi="Arial" w:cs="Arial"/>
        </w:rPr>
        <w:t xml:space="preserve"> </w:t>
      </w:r>
      <w:r w:rsidRPr="00080BCD">
        <w:rPr>
          <w:rFonts w:ascii="Arial" w:hAnsi="Arial" w:cs="Arial"/>
        </w:rPr>
        <w:t>una acción sancionadora de estos crímenes.</w:t>
      </w:r>
    </w:p>
    <w:p w:rsidR="00080BCD" w:rsidRDefault="00080BCD" w:rsidP="00080BCD">
      <w:pPr>
        <w:spacing w:after="0" w:line="360" w:lineRule="auto"/>
        <w:ind w:firstLine="708"/>
        <w:jc w:val="both"/>
        <w:rPr>
          <w:rFonts w:ascii="Arial" w:hAnsi="Arial" w:cs="Arial"/>
        </w:rPr>
      </w:pPr>
    </w:p>
    <w:p w:rsidR="00080BCD" w:rsidRPr="00080BCD" w:rsidRDefault="00080BCD" w:rsidP="00080BCD">
      <w:pPr>
        <w:spacing w:after="0" w:line="360" w:lineRule="auto"/>
        <w:ind w:firstLine="708"/>
        <w:jc w:val="both"/>
        <w:rPr>
          <w:rFonts w:ascii="Arial" w:hAnsi="Arial" w:cs="Arial"/>
        </w:rPr>
      </w:pPr>
      <w:r w:rsidRPr="002C2E14">
        <w:rPr>
          <w:rFonts w:ascii="Arial" w:hAnsi="Arial" w:cs="Arial"/>
          <w:b/>
        </w:rPr>
        <w:t>CONCLUSIONES</w:t>
      </w:r>
      <w:r w:rsidR="002C2E14">
        <w:rPr>
          <w:rStyle w:val="Refdenotaalpie"/>
          <w:rFonts w:ascii="Arial" w:hAnsi="Arial" w:cs="Arial"/>
        </w:rPr>
        <w:footnoteReference w:id="6"/>
      </w:r>
    </w:p>
    <w:p w:rsidR="00080BCD" w:rsidRPr="00080BCD" w:rsidRDefault="00080BCD" w:rsidP="00080BCD">
      <w:pPr>
        <w:spacing w:after="0" w:line="360" w:lineRule="auto"/>
        <w:ind w:firstLine="708"/>
        <w:jc w:val="both"/>
        <w:rPr>
          <w:rFonts w:ascii="Arial" w:hAnsi="Arial" w:cs="Arial"/>
        </w:rPr>
      </w:pPr>
      <w:r w:rsidRPr="00080BCD">
        <w:rPr>
          <w:rFonts w:ascii="Arial" w:hAnsi="Arial" w:cs="Arial"/>
        </w:rPr>
        <w:t>El análisis de los diversos aspectos revisados dentro del periodo 2014-</w:t>
      </w:r>
      <w:r>
        <w:rPr>
          <w:rFonts w:ascii="Arial" w:hAnsi="Arial" w:cs="Arial"/>
        </w:rPr>
        <w:t xml:space="preserve"> </w:t>
      </w:r>
      <w:r w:rsidRPr="00080BCD">
        <w:rPr>
          <w:rFonts w:ascii="Arial" w:hAnsi="Arial" w:cs="Arial"/>
        </w:rPr>
        <w:t>2015 nos conduce a sacar conclusiones ambivalentes, en relación al respeto</w:t>
      </w:r>
      <w:r>
        <w:rPr>
          <w:rFonts w:ascii="Arial" w:hAnsi="Arial" w:cs="Arial"/>
        </w:rPr>
        <w:t xml:space="preserve"> </w:t>
      </w:r>
      <w:r w:rsidRPr="00080BCD">
        <w:rPr>
          <w:rFonts w:ascii="Arial" w:hAnsi="Arial" w:cs="Arial"/>
        </w:rPr>
        <w:t>de los derechos de las personas de la diversidad sexual en Chile.</w:t>
      </w:r>
    </w:p>
    <w:p w:rsidR="00080BCD" w:rsidRPr="00080BCD" w:rsidRDefault="00080BCD" w:rsidP="00080BCD">
      <w:pPr>
        <w:spacing w:after="0" w:line="360" w:lineRule="auto"/>
        <w:ind w:firstLine="708"/>
        <w:jc w:val="both"/>
        <w:rPr>
          <w:rFonts w:ascii="Arial" w:hAnsi="Arial" w:cs="Arial"/>
        </w:rPr>
      </w:pPr>
      <w:r w:rsidRPr="00080BCD">
        <w:rPr>
          <w:rFonts w:ascii="Arial" w:hAnsi="Arial" w:cs="Arial"/>
        </w:rPr>
        <w:t>Sin duda que la dictación de la Ley 20.830 constituye un hito histórico</w:t>
      </w:r>
      <w:r>
        <w:rPr>
          <w:rFonts w:ascii="Arial" w:hAnsi="Arial" w:cs="Arial"/>
        </w:rPr>
        <w:t xml:space="preserve"> </w:t>
      </w:r>
      <w:r w:rsidRPr="00080BCD">
        <w:rPr>
          <w:rFonts w:ascii="Arial" w:hAnsi="Arial" w:cs="Arial"/>
        </w:rPr>
        <w:t>en el reconocimiento legal de las parejas del mismo sexo y con</w:t>
      </w:r>
      <w:r>
        <w:rPr>
          <w:rFonts w:ascii="Arial" w:hAnsi="Arial" w:cs="Arial"/>
        </w:rPr>
        <w:t xml:space="preserve"> </w:t>
      </w:r>
      <w:r w:rsidRPr="00080BCD">
        <w:rPr>
          <w:rFonts w:ascii="Arial" w:hAnsi="Arial" w:cs="Arial"/>
        </w:rPr>
        <w:t>ello, de la orientación homosexual o lésbica. Ante el derecho, ante la</w:t>
      </w:r>
      <w:r>
        <w:rPr>
          <w:rFonts w:ascii="Arial" w:hAnsi="Arial" w:cs="Arial"/>
        </w:rPr>
        <w:t xml:space="preserve"> </w:t>
      </w:r>
      <w:r w:rsidRPr="00080BCD">
        <w:rPr>
          <w:rFonts w:ascii="Arial" w:hAnsi="Arial" w:cs="Arial"/>
        </w:rPr>
        <w:t>administración y también ante los ciudadanos, esas relaciones, y por</w:t>
      </w:r>
      <w:r>
        <w:rPr>
          <w:rFonts w:ascii="Arial" w:hAnsi="Arial" w:cs="Arial"/>
        </w:rPr>
        <w:t xml:space="preserve"> </w:t>
      </w:r>
      <w:r w:rsidRPr="00080BCD">
        <w:rPr>
          <w:rFonts w:ascii="Arial" w:hAnsi="Arial" w:cs="Arial"/>
        </w:rPr>
        <w:t>consiguiente también esa orientación, están plenamente validadas, con</w:t>
      </w:r>
      <w:r>
        <w:rPr>
          <w:rFonts w:ascii="Arial" w:hAnsi="Arial" w:cs="Arial"/>
        </w:rPr>
        <w:t xml:space="preserve"> </w:t>
      </w:r>
      <w:r w:rsidRPr="00080BCD">
        <w:rPr>
          <w:rFonts w:ascii="Arial" w:hAnsi="Arial" w:cs="Arial"/>
        </w:rPr>
        <w:t>todos sus efectos. Sin embargo, la obstinada oposición que produjo el</w:t>
      </w:r>
      <w:r>
        <w:rPr>
          <w:rFonts w:ascii="Arial" w:hAnsi="Arial" w:cs="Arial"/>
        </w:rPr>
        <w:t xml:space="preserve"> </w:t>
      </w:r>
      <w:r w:rsidRPr="00080BCD">
        <w:rPr>
          <w:rFonts w:ascii="Arial" w:hAnsi="Arial" w:cs="Arial"/>
        </w:rPr>
        <w:t>patrocinio de la JUNJI al libro “Nicolás tiene dos papás”, demuestra</w:t>
      </w:r>
      <w:r>
        <w:rPr>
          <w:rFonts w:ascii="Arial" w:hAnsi="Arial" w:cs="Arial"/>
        </w:rPr>
        <w:t xml:space="preserve"> </w:t>
      </w:r>
      <w:r w:rsidRPr="00080BCD">
        <w:rPr>
          <w:rFonts w:ascii="Arial" w:hAnsi="Arial" w:cs="Arial"/>
        </w:rPr>
        <w:t>que siguen existiendo sectores relevantes de la sociedad que se oponen</w:t>
      </w:r>
      <w:r>
        <w:rPr>
          <w:rFonts w:ascii="Arial" w:hAnsi="Arial" w:cs="Arial"/>
        </w:rPr>
        <w:t xml:space="preserve"> </w:t>
      </w:r>
      <w:r w:rsidRPr="00080BCD">
        <w:rPr>
          <w:rFonts w:ascii="Arial" w:hAnsi="Arial" w:cs="Arial"/>
        </w:rPr>
        <w:t xml:space="preserve">al pleno reconocimiento de la familia </w:t>
      </w:r>
      <w:proofErr w:type="spellStart"/>
      <w:r w:rsidRPr="00080BCD">
        <w:rPr>
          <w:rFonts w:ascii="Arial" w:hAnsi="Arial" w:cs="Arial"/>
        </w:rPr>
        <w:t>homoparental</w:t>
      </w:r>
      <w:proofErr w:type="spellEnd"/>
      <w:r w:rsidRPr="00080BCD">
        <w:rPr>
          <w:rFonts w:ascii="Arial" w:hAnsi="Arial" w:cs="Arial"/>
        </w:rPr>
        <w:t>, en particular en</w:t>
      </w:r>
      <w:r>
        <w:rPr>
          <w:rFonts w:ascii="Arial" w:hAnsi="Arial" w:cs="Arial"/>
        </w:rPr>
        <w:t xml:space="preserve"> </w:t>
      </w:r>
      <w:r w:rsidRPr="00080BCD">
        <w:rPr>
          <w:rFonts w:ascii="Arial" w:hAnsi="Arial" w:cs="Arial"/>
        </w:rPr>
        <w:t>el ámbito educacional.</w:t>
      </w:r>
    </w:p>
    <w:p w:rsidR="00080BCD" w:rsidRPr="002C2E14" w:rsidRDefault="00080BCD" w:rsidP="002C2E14">
      <w:pPr>
        <w:spacing w:after="0" w:line="360" w:lineRule="auto"/>
        <w:ind w:firstLine="708"/>
        <w:jc w:val="both"/>
        <w:rPr>
          <w:rFonts w:ascii="Arial" w:hAnsi="Arial" w:cs="Arial"/>
        </w:rPr>
      </w:pPr>
      <w:r w:rsidRPr="00080BCD">
        <w:rPr>
          <w:rFonts w:ascii="Arial" w:hAnsi="Arial" w:cs="Arial"/>
        </w:rPr>
        <w:t>Pero junto con el progreso que representa el Acuerdo de Unión Civil,</w:t>
      </w:r>
      <w:r>
        <w:rPr>
          <w:rFonts w:ascii="Arial" w:hAnsi="Arial" w:cs="Arial"/>
        </w:rPr>
        <w:t xml:space="preserve"> </w:t>
      </w:r>
      <w:r w:rsidRPr="00080BCD">
        <w:rPr>
          <w:rFonts w:ascii="Arial" w:hAnsi="Arial" w:cs="Arial"/>
        </w:rPr>
        <w:t>el Estado no avanza en satisfacer la necesidad urgente de dar reconocimiento</w:t>
      </w:r>
      <w:r>
        <w:rPr>
          <w:rFonts w:ascii="Arial" w:hAnsi="Arial" w:cs="Arial"/>
        </w:rPr>
        <w:t xml:space="preserve"> </w:t>
      </w:r>
      <w:r w:rsidRPr="00080BCD">
        <w:rPr>
          <w:rFonts w:ascii="Arial" w:hAnsi="Arial" w:cs="Arial"/>
        </w:rPr>
        <w:t>y protección al derecho a la identidad de las personas trans,</w:t>
      </w:r>
      <w:r>
        <w:rPr>
          <w:rFonts w:ascii="Arial" w:hAnsi="Arial" w:cs="Arial"/>
        </w:rPr>
        <w:t xml:space="preserve"> </w:t>
      </w:r>
      <w:r w:rsidRPr="00080BCD">
        <w:rPr>
          <w:rFonts w:ascii="Arial" w:hAnsi="Arial" w:cs="Arial"/>
        </w:rPr>
        <w:t>puesto que la tramitación del proyecto de ley respectivo se ha visto</w:t>
      </w:r>
      <w:r>
        <w:rPr>
          <w:rFonts w:ascii="Arial" w:hAnsi="Arial" w:cs="Arial"/>
        </w:rPr>
        <w:t xml:space="preserve"> </w:t>
      </w:r>
      <w:r w:rsidRPr="00080BCD">
        <w:rPr>
          <w:rFonts w:ascii="Arial" w:hAnsi="Arial" w:cs="Arial"/>
        </w:rPr>
        <w:t xml:space="preserve">embarazado en el </w:t>
      </w:r>
      <w:r w:rsidRPr="00080BCD">
        <w:rPr>
          <w:rFonts w:ascii="Arial" w:hAnsi="Arial" w:cs="Arial"/>
        </w:rPr>
        <w:lastRenderedPageBreak/>
        <w:t>último tiempo, que coincide con la presidencia de la</w:t>
      </w:r>
      <w:r>
        <w:rPr>
          <w:rFonts w:ascii="Arial" w:hAnsi="Arial" w:cs="Arial"/>
        </w:rPr>
        <w:t xml:space="preserve"> </w:t>
      </w:r>
      <w:r w:rsidRPr="00080BCD">
        <w:rPr>
          <w:rFonts w:ascii="Arial" w:hAnsi="Arial" w:cs="Arial"/>
        </w:rPr>
        <w:t xml:space="preserve">senadora Van </w:t>
      </w:r>
      <w:proofErr w:type="spellStart"/>
      <w:r w:rsidRPr="00080BCD">
        <w:rPr>
          <w:rFonts w:ascii="Arial" w:hAnsi="Arial" w:cs="Arial"/>
        </w:rPr>
        <w:t>Rysselberghe</w:t>
      </w:r>
      <w:proofErr w:type="spellEnd"/>
      <w:r w:rsidRPr="00080BCD">
        <w:rPr>
          <w:rFonts w:ascii="Arial" w:hAnsi="Arial" w:cs="Arial"/>
        </w:rPr>
        <w:t xml:space="preserve"> de la comisión donde se encuentra alojado</w:t>
      </w:r>
      <w:r>
        <w:rPr>
          <w:rFonts w:ascii="Arial" w:hAnsi="Arial" w:cs="Arial"/>
        </w:rPr>
        <w:t xml:space="preserve"> </w:t>
      </w:r>
      <w:r w:rsidRPr="00080BCD">
        <w:rPr>
          <w:rFonts w:ascii="Arial" w:hAnsi="Arial" w:cs="Arial"/>
        </w:rPr>
        <w:t>el proyecto. Respecto a la situación de los tribunales sucede algo similar,</w:t>
      </w:r>
      <w:r>
        <w:rPr>
          <w:rFonts w:ascii="Arial" w:hAnsi="Arial" w:cs="Arial"/>
        </w:rPr>
        <w:t xml:space="preserve"> </w:t>
      </w:r>
      <w:r w:rsidRPr="00080BCD">
        <w:rPr>
          <w:rFonts w:ascii="Arial" w:hAnsi="Arial" w:cs="Arial"/>
        </w:rPr>
        <w:t>pues por un lado se han producido fallos emblemáticos que dan</w:t>
      </w:r>
      <w:r>
        <w:rPr>
          <w:rFonts w:ascii="Arial" w:hAnsi="Arial" w:cs="Arial"/>
        </w:rPr>
        <w:t xml:space="preserve"> </w:t>
      </w:r>
      <w:r w:rsidRPr="00080BCD">
        <w:rPr>
          <w:rFonts w:ascii="Arial" w:hAnsi="Arial" w:cs="Arial"/>
        </w:rPr>
        <w:t>reconocimiento a la diversidad de familias, pero por otro, el Tribunal</w:t>
      </w:r>
      <w:r>
        <w:rPr>
          <w:rFonts w:ascii="Arial" w:hAnsi="Arial" w:cs="Arial"/>
        </w:rPr>
        <w:t xml:space="preserve"> </w:t>
      </w:r>
      <w:r w:rsidRPr="00080BCD">
        <w:rPr>
          <w:rFonts w:ascii="Arial" w:hAnsi="Arial" w:cs="Arial"/>
        </w:rPr>
        <w:t>Constitucional continúa con una interpretación discriminatoria de las</w:t>
      </w:r>
      <w:r>
        <w:rPr>
          <w:rFonts w:ascii="Arial" w:hAnsi="Arial" w:cs="Arial"/>
        </w:rPr>
        <w:t xml:space="preserve"> </w:t>
      </w:r>
      <w:r w:rsidRPr="00080BCD">
        <w:rPr>
          <w:rFonts w:ascii="Arial" w:hAnsi="Arial" w:cs="Arial"/>
        </w:rPr>
        <w:t>normas constitucionales en contra de las personas LGTBI. Pero, sin</w:t>
      </w:r>
      <w:r>
        <w:rPr>
          <w:rFonts w:ascii="Arial" w:hAnsi="Arial" w:cs="Arial"/>
        </w:rPr>
        <w:t xml:space="preserve"> </w:t>
      </w:r>
      <w:r w:rsidRPr="00080BCD">
        <w:rPr>
          <w:rFonts w:ascii="Arial" w:hAnsi="Arial" w:cs="Arial"/>
        </w:rPr>
        <w:t>duda, más grave que toda omisión o discriminación por parte de los</w:t>
      </w:r>
      <w:r>
        <w:rPr>
          <w:rFonts w:ascii="Arial" w:hAnsi="Arial" w:cs="Arial"/>
        </w:rPr>
        <w:t xml:space="preserve"> </w:t>
      </w:r>
      <w:r w:rsidRPr="00080BCD">
        <w:rPr>
          <w:rFonts w:ascii="Arial" w:hAnsi="Arial" w:cs="Arial"/>
        </w:rPr>
        <w:t>poderes del Estado, son los hechos criminales descritos, que simbolizan</w:t>
      </w:r>
      <w:r>
        <w:rPr>
          <w:rFonts w:ascii="Arial" w:hAnsi="Arial" w:cs="Arial"/>
        </w:rPr>
        <w:t xml:space="preserve"> </w:t>
      </w:r>
      <w:r w:rsidRPr="00080BCD">
        <w:rPr>
          <w:rFonts w:ascii="Arial" w:hAnsi="Arial" w:cs="Arial"/>
        </w:rPr>
        <w:t>el profundo desprecio y prejuicio que todavía prevalece en sectores de</w:t>
      </w:r>
      <w:r>
        <w:rPr>
          <w:rFonts w:ascii="Arial" w:hAnsi="Arial" w:cs="Arial"/>
        </w:rPr>
        <w:t xml:space="preserve"> </w:t>
      </w:r>
      <w:r w:rsidRPr="00080BCD">
        <w:rPr>
          <w:rFonts w:ascii="Arial" w:hAnsi="Arial" w:cs="Arial"/>
        </w:rPr>
        <w:t>la población chilena hacia las personas trans y homosexuales.</w:t>
      </w:r>
    </w:p>
    <w:p w:rsidR="00080BCD" w:rsidRPr="002C2E14" w:rsidRDefault="00080BCD" w:rsidP="00080BCD">
      <w:pPr>
        <w:spacing w:after="0" w:line="360" w:lineRule="auto"/>
        <w:ind w:firstLine="708"/>
        <w:jc w:val="both"/>
        <w:rPr>
          <w:rFonts w:ascii="Arial" w:hAnsi="Arial" w:cs="Arial"/>
          <w:b/>
        </w:rPr>
      </w:pPr>
      <w:r w:rsidRPr="002C2E14">
        <w:rPr>
          <w:rFonts w:ascii="Arial" w:hAnsi="Arial" w:cs="Arial"/>
          <w:b/>
        </w:rPr>
        <w:t>RECOMENDACIONES</w:t>
      </w:r>
      <w:r w:rsidR="002C2E14" w:rsidRPr="002C2E14">
        <w:rPr>
          <w:rStyle w:val="Refdenotaalpie"/>
          <w:rFonts w:ascii="Arial" w:hAnsi="Arial" w:cs="Arial"/>
          <w:b/>
        </w:rPr>
        <w:footnoteReference w:id="7"/>
      </w:r>
    </w:p>
    <w:p w:rsidR="00080BCD" w:rsidRPr="00080BCD" w:rsidRDefault="00080BCD" w:rsidP="00080BCD">
      <w:pPr>
        <w:spacing w:after="0" w:line="360" w:lineRule="auto"/>
        <w:ind w:firstLine="708"/>
        <w:jc w:val="both"/>
        <w:rPr>
          <w:rFonts w:ascii="Arial" w:hAnsi="Arial" w:cs="Arial"/>
        </w:rPr>
      </w:pPr>
      <w:r w:rsidRPr="00080BCD">
        <w:rPr>
          <w:rFonts w:ascii="Arial" w:hAnsi="Arial" w:cs="Arial"/>
        </w:rPr>
        <w:t>En base a las conclusiones anteriores, se recomienda al Estado:</w:t>
      </w:r>
    </w:p>
    <w:p w:rsidR="00080BCD" w:rsidRPr="00080BCD" w:rsidRDefault="00080BCD" w:rsidP="00080BCD">
      <w:pPr>
        <w:spacing w:after="0" w:line="360" w:lineRule="auto"/>
        <w:ind w:firstLine="708"/>
        <w:jc w:val="both"/>
        <w:rPr>
          <w:rFonts w:ascii="Arial" w:hAnsi="Arial" w:cs="Arial"/>
        </w:rPr>
      </w:pPr>
      <w:r w:rsidRPr="00080BCD">
        <w:rPr>
          <w:rFonts w:ascii="Arial" w:hAnsi="Arial" w:cs="Arial"/>
        </w:rPr>
        <w:t>1. Aprobar una ley de identidad de género e implementar las políticas</w:t>
      </w:r>
      <w:r>
        <w:rPr>
          <w:rFonts w:ascii="Arial" w:hAnsi="Arial" w:cs="Arial"/>
        </w:rPr>
        <w:t xml:space="preserve"> </w:t>
      </w:r>
      <w:r w:rsidRPr="00080BCD">
        <w:rPr>
          <w:rFonts w:ascii="Arial" w:hAnsi="Arial" w:cs="Arial"/>
        </w:rPr>
        <w:t>que permitan reconocer a todas las personas trans y proteger</w:t>
      </w:r>
      <w:r>
        <w:rPr>
          <w:rFonts w:ascii="Arial" w:hAnsi="Arial" w:cs="Arial"/>
        </w:rPr>
        <w:t xml:space="preserve"> </w:t>
      </w:r>
      <w:r w:rsidRPr="00080BCD">
        <w:rPr>
          <w:rFonts w:ascii="Arial" w:hAnsi="Arial" w:cs="Arial"/>
        </w:rPr>
        <w:t>sus derechos.</w:t>
      </w:r>
    </w:p>
    <w:p w:rsidR="00080BCD" w:rsidRDefault="00080BCD" w:rsidP="00080BCD">
      <w:pPr>
        <w:spacing w:after="0" w:line="360" w:lineRule="auto"/>
        <w:ind w:firstLine="708"/>
        <w:jc w:val="both"/>
        <w:rPr>
          <w:rFonts w:ascii="Arial" w:hAnsi="Arial" w:cs="Arial"/>
        </w:rPr>
      </w:pPr>
      <w:r w:rsidRPr="00080BCD">
        <w:rPr>
          <w:rFonts w:ascii="Arial" w:hAnsi="Arial" w:cs="Arial"/>
        </w:rPr>
        <w:t>2. Establecer en los programas educacionales un adecuado reconocimiento</w:t>
      </w:r>
      <w:r>
        <w:rPr>
          <w:rFonts w:ascii="Arial" w:hAnsi="Arial" w:cs="Arial"/>
        </w:rPr>
        <w:t xml:space="preserve"> </w:t>
      </w:r>
      <w:r w:rsidRPr="00080BCD">
        <w:rPr>
          <w:rFonts w:ascii="Arial" w:hAnsi="Arial" w:cs="Arial"/>
        </w:rPr>
        <w:t>de las personas LGTBI y de las familias homoparentales.</w:t>
      </w:r>
    </w:p>
    <w:p w:rsidR="00080BCD" w:rsidRDefault="00080BCD" w:rsidP="00080BCD">
      <w:pPr>
        <w:spacing w:after="0" w:line="360" w:lineRule="auto"/>
        <w:ind w:firstLine="708"/>
        <w:jc w:val="both"/>
        <w:rPr>
          <w:rFonts w:ascii="Arial" w:hAnsi="Arial" w:cs="Arial"/>
        </w:rPr>
      </w:pPr>
      <w:r w:rsidRPr="00080BCD">
        <w:rPr>
          <w:rFonts w:ascii="Arial" w:hAnsi="Arial" w:cs="Arial"/>
        </w:rPr>
        <w:t>3. Realizar campañas educativas que busquen erradicar la homofobia</w:t>
      </w:r>
      <w:r>
        <w:rPr>
          <w:rFonts w:ascii="Arial" w:hAnsi="Arial" w:cs="Arial"/>
        </w:rPr>
        <w:t xml:space="preserve"> </w:t>
      </w:r>
      <w:r w:rsidRPr="00080BCD">
        <w:rPr>
          <w:rFonts w:ascii="Arial" w:hAnsi="Arial" w:cs="Arial"/>
        </w:rPr>
        <w:t>y la transfobia.</w:t>
      </w:r>
    </w:p>
    <w:p w:rsidR="00080BCD" w:rsidRPr="00080BCD" w:rsidRDefault="00080BCD" w:rsidP="00080BCD">
      <w:pPr>
        <w:spacing w:after="0" w:line="360" w:lineRule="auto"/>
        <w:ind w:firstLine="708"/>
        <w:jc w:val="both"/>
        <w:rPr>
          <w:rFonts w:ascii="Arial" w:hAnsi="Arial" w:cs="Arial"/>
        </w:rPr>
      </w:pPr>
      <w:r w:rsidRPr="00080BCD">
        <w:rPr>
          <w:rFonts w:ascii="Arial" w:hAnsi="Arial" w:cs="Arial"/>
        </w:rPr>
        <w:t>4. Investigar y sancionar adecuadamente los crímenes contra personas</w:t>
      </w:r>
      <w:r>
        <w:rPr>
          <w:rFonts w:ascii="Arial" w:hAnsi="Arial" w:cs="Arial"/>
        </w:rPr>
        <w:t xml:space="preserve"> </w:t>
      </w:r>
      <w:r w:rsidRPr="00080BCD">
        <w:rPr>
          <w:rFonts w:ascii="Arial" w:hAnsi="Arial" w:cs="Arial"/>
        </w:rPr>
        <w:t>LGTBI.</w:t>
      </w:r>
    </w:p>
    <w:p w:rsidR="00080BCD" w:rsidRPr="00732DAA" w:rsidRDefault="00080BCD" w:rsidP="00080BCD">
      <w:pPr>
        <w:spacing w:after="0" w:line="360" w:lineRule="auto"/>
        <w:ind w:firstLine="708"/>
        <w:jc w:val="both"/>
        <w:rPr>
          <w:rFonts w:ascii="Arial" w:hAnsi="Arial" w:cs="Arial"/>
        </w:rPr>
      </w:pPr>
      <w:r w:rsidRPr="00080BCD">
        <w:rPr>
          <w:rFonts w:ascii="Arial" w:hAnsi="Arial" w:cs="Arial"/>
        </w:rPr>
        <w:t>5. Derogar el numeral 4º del artículo 54 de la Ley de Matrimonio</w:t>
      </w:r>
      <w:r>
        <w:rPr>
          <w:rFonts w:ascii="Arial" w:hAnsi="Arial" w:cs="Arial"/>
        </w:rPr>
        <w:t xml:space="preserve"> </w:t>
      </w:r>
      <w:r w:rsidRPr="00080BCD">
        <w:rPr>
          <w:rFonts w:ascii="Arial" w:hAnsi="Arial" w:cs="Arial"/>
        </w:rPr>
        <w:t>Civil que establece la homosexualidad como causal de divorcio</w:t>
      </w:r>
      <w:r>
        <w:rPr>
          <w:rFonts w:ascii="Arial" w:hAnsi="Arial" w:cs="Arial"/>
        </w:rPr>
        <w:t xml:space="preserve"> </w:t>
      </w:r>
      <w:r w:rsidRPr="00080BCD">
        <w:rPr>
          <w:rFonts w:ascii="Arial" w:hAnsi="Arial" w:cs="Arial"/>
        </w:rPr>
        <w:t>por culpa, a fin de eliminar dispositivos normativos abiertamente</w:t>
      </w:r>
      <w:r>
        <w:rPr>
          <w:rFonts w:ascii="Arial" w:hAnsi="Arial" w:cs="Arial"/>
        </w:rPr>
        <w:t xml:space="preserve"> </w:t>
      </w:r>
      <w:r w:rsidRPr="00080BCD">
        <w:rPr>
          <w:rFonts w:ascii="Arial" w:hAnsi="Arial" w:cs="Arial"/>
        </w:rPr>
        <w:t>discriminatorios contra personas LGTBI</w:t>
      </w:r>
    </w:p>
    <w:sectPr w:rsidR="00080BCD" w:rsidRPr="00732DAA" w:rsidSect="00E4282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22" w:rsidRDefault="00236822" w:rsidP="00EF2024">
      <w:pPr>
        <w:spacing w:after="0" w:line="240" w:lineRule="auto"/>
      </w:pPr>
      <w:r>
        <w:separator/>
      </w:r>
    </w:p>
  </w:endnote>
  <w:endnote w:type="continuationSeparator" w:id="0">
    <w:p w:rsidR="00236822" w:rsidRDefault="00236822" w:rsidP="00EF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22" w:rsidRDefault="00236822" w:rsidP="00EF2024">
      <w:pPr>
        <w:spacing w:after="0" w:line="240" w:lineRule="auto"/>
      </w:pPr>
      <w:r>
        <w:separator/>
      </w:r>
    </w:p>
  </w:footnote>
  <w:footnote w:type="continuationSeparator" w:id="0">
    <w:p w:rsidR="00236822" w:rsidRDefault="00236822" w:rsidP="00EF2024">
      <w:pPr>
        <w:spacing w:after="0" w:line="240" w:lineRule="auto"/>
      </w:pPr>
      <w:r>
        <w:continuationSeparator/>
      </w:r>
    </w:p>
  </w:footnote>
  <w:footnote w:id="1">
    <w:p w:rsidR="00EF2024" w:rsidRPr="002C2E14" w:rsidRDefault="00EF2024">
      <w:pPr>
        <w:pStyle w:val="Textonotapie"/>
        <w:rPr>
          <w:rFonts w:ascii="Arial" w:hAnsi="Arial" w:cs="Arial"/>
        </w:rPr>
      </w:pPr>
      <w:r w:rsidRPr="002C2E14">
        <w:rPr>
          <w:rStyle w:val="Refdenotaalpie"/>
          <w:rFonts w:ascii="Arial" w:hAnsi="Arial" w:cs="Arial"/>
        </w:rPr>
        <w:footnoteRef/>
      </w:r>
      <w:r w:rsidRPr="002C2E14">
        <w:rPr>
          <w:rFonts w:ascii="Arial" w:hAnsi="Arial" w:cs="Arial"/>
        </w:rPr>
        <w:t xml:space="preserve"> Pág. 261</w:t>
      </w:r>
    </w:p>
  </w:footnote>
  <w:footnote w:id="2">
    <w:p w:rsidR="00EA1D31" w:rsidRPr="002C2E14" w:rsidRDefault="00EA1D31">
      <w:pPr>
        <w:pStyle w:val="Textonotapie"/>
        <w:rPr>
          <w:rFonts w:ascii="Arial" w:hAnsi="Arial" w:cs="Arial"/>
        </w:rPr>
      </w:pPr>
      <w:r w:rsidRPr="002C2E14">
        <w:rPr>
          <w:rStyle w:val="Refdenotaalpie"/>
          <w:rFonts w:ascii="Arial" w:hAnsi="Arial" w:cs="Arial"/>
        </w:rPr>
        <w:footnoteRef/>
      </w:r>
      <w:r w:rsidRPr="002C2E14">
        <w:rPr>
          <w:rFonts w:ascii="Arial" w:hAnsi="Arial" w:cs="Arial"/>
        </w:rPr>
        <w:t>Pág. 263.</w:t>
      </w:r>
    </w:p>
  </w:footnote>
  <w:footnote w:id="3">
    <w:p w:rsidR="00A5531A" w:rsidRPr="002C2E14" w:rsidRDefault="00A5531A">
      <w:pPr>
        <w:pStyle w:val="Textonotapie"/>
        <w:rPr>
          <w:rFonts w:ascii="Arial" w:hAnsi="Arial" w:cs="Arial"/>
        </w:rPr>
      </w:pPr>
      <w:r w:rsidRPr="002C2E14">
        <w:rPr>
          <w:rStyle w:val="Refdenotaalpie"/>
          <w:rFonts w:ascii="Arial" w:hAnsi="Arial" w:cs="Arial"/>
        </w:rPr>
        <w:footnoteRef/>
      </w:r>
      <w:r w:rsidRPr="002C2E14">
        <w:rPr>
          <w:rFonts w:ascii="Arial" w:hAnsi="Arial" w:cs="Arial"/>
        </w:rPr>
        <w:t xml:space="preserve"> Se analizan las asignaturas de Historia, Geografía y Ciencias Sociales y Biología. </w:t>
      </w:r>
    </w:p>
  </w:footnote>
  <w:footnote w:id="4">
    <w:p w:rsidR="002C2E14" w:rsidRPr="002C2E14" w:rsidRDefault="002C2E14">
      <w:pPr>
        <w:pStyle w:val="Textonotapie"/>
        <w:rPr>
          <w:rFonts w:ascii="Arial" w:hAnsi="Arial" w:cs="Arial"/>
        </w:rPr>
      </w:pPr>
      <w:r w:rsidRPr="002C2E14">
        <w:rPr>
          <w:rStyle w:val="Refdenotaalpie"/>
          <w:rFonts w:ascii="Arial" w:hAnsi="Arial" w:cs="Arial"/>
        </w:rPr>
        <w:footnoteRef/>
      </w:r>
      <w:r w:rsidRPr="002C2E14">
        <w:rPr>
          <w:rFonts w:ascii="Arial" w:hAnsi="Arial" w:cs="Arial"/>
        </w:rPr>
        <w:t xml:space="preserve"> Están todas textuales.</w:t>
      </w:r>
    </w:p>
  </w:footnote>
  <w:footnote w:id="5">
    <w:p w:rsidR="002C2E14" w:rsidRPr="002C2E14" w:rsidRDefault="002C2E14">
      <w:pPr>
        <w:pStyle w:val="Textonotapie"/>
        <w:rPr>
          <w:rFonts w:ascii="Arial" w:hAnsi="Arial" w:cs="Arial"/>
        </w:rPr>
      </w:pPr>
      <w:r w:rsidRPr="002C2E14">
        <w:rPr>
          <w:rStyle w:val="Refdenotaalpie"/>
          <w:rFonts w:ascii="Arial" w:hAnsi="Arial" w:cs="Arial"/>
        </w:rPr>
        <w:footnoteRef/>
      </w:r>
      <w:r w:rsidRPr="002C2E14">
        <w:rPr>
          <w:rFonts w:ascii="Arial" w:hAnsi="Arial" w:cs="Arial"/>
        </w:rPr>
        <w:t xml:space="preserve"> Están todas textuales.</w:t>
      </w:r>
    </w:p>
  </w:footnote>
  <w:footnote w:id="6">
    <w:p w:rsidR="002C2E14" w:rsidRPr="002C2E14" w:rsidRDefault="002C2E14">
      <w:pPr>
        <w:pStyle w:val="Textonotapie"/>
        <w:rPr>
          <w:rFonts w:ascii="Arial" w:hAnsi="Arial" w:cs="Arial"/>
        </w:rPr>
      </w:pPr>
      <w:r w:rsidRPr="002C2E14">
        <w:rPr>
          <w:rStyle w:val="Refdenotaalpie"/>
          <w:rFonts w:ascii="Arial" w:hAnsi="Arial" w:cs="Arial"/>
        </w:rPr>
        <w:footnoteRef/>
      </w:r>
      <w:r w:rsidRPr="002C2E14">
        <w:rPr>
          <w:rFonts w:ascii="Arial" w:hAnsi="Arial" w:cs="Arial"/>
        </w:rPr>
        <w:t xml:space="preserve"> Están todas textuales.</w:t>
      </w:r>
    </w:p>
  </w:footnote>
  <w:footnote w:id="7">
    <w:p w:rsidR="002C2E14" w:rsidRPr="002C2E14" w:rsidRDefault="002C2E14">
      <w:pPr>
        <w:pStyle w:val="Textonotapie"/>
        <w:rPr>
          <w:rFonts w:ascii="Arial" w:hAnsi="Arial" w:cs="Arial"/>
        </w:rPr>
      </w:pPr>
      <w:r w:rsidRPr="002C2E14">
        <w:rPr>
          <w:rStyle w:val="Refdenotaalpie"/>
          <w:rFonts w:ascii="Arial" w:hAnsi="Arial" w:cs="Arial"/>
        </w:rPr>
        <w:footnoteRef/>
      </w:r>
      <w:r w:rsidRPr="002C2E14">
        <w:rPr>
          <w:rFonts w:ascii="Arial" w:hAnsi="Arial" w:cs="Arial"/>
        </w:rPr>
        <w:t xml:space="preserve"> Están todas textuales.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AA"/>
    <w:rsid w:val="0006055B"/>
    <w:rsid w:val="0007236A"/>
    <w:rsid w:val="00080BCD"/>
    <w:rsid w:val="000E5FB3"/>
    <w:rsid w:val="00115529"/>
    <w:rsid w:val="00163207"/>
    <w:rsid w:val="0018007A"/>
    <w:rsid w:val="001D0AB7"/>
    <w:rsid w:val="001F566C"/>
    <w:rsid w:val="00201B2B"/>
    <w:rsid w:val="00236822"/>
    <w:rsid w:val="00267E24"/>
    <w:rsid w:val="00271B4D"/>
    <w:rsid w:val="00290091"/>
    <w:rsid w:val="002C2E14"/>
    <w:rsid w:val="003D5407"/>
    <w:rsid w:val="00431DD9"/>
    <w:rsid w:val="00443780"/>
    <w:rsid w:val="004A7651"/>
    <w:rsid w:val="004F2974"/>
    <w:rsid w:val="00520282"/>
    <w:rsid w:val="005C4C2F"/>
    <w:rsid w:val="00612A6A"/>
    <w:rsid w:val="006206C0"/>
    <w:rsid w:val="0068444D"/>
    <w:rsid w:val="006D6A7C"/>
    <w:rsid w:val="00701738"/>
    <w:rsid w:val="00726B26"/>
    <w:rsid w:val="00732DAA"/>
    <w:rsid w:val="007B3F97"/>
    <w:rsid w:val="007C047C"/>
    <w:rsid w:val="007E427B"/>
    <w:rsid w:val="008454F0"/>
    <w:rsid w:val="0089384B"/>
    <w:rsid w:val="008B1ABB"/>
    <w:rsid w:val="00932E60"/>
    <w:rsid w:val="009E5C37"/>
    <w:rsid w:val="00A1351F"/>
    <w:rsid w:val="00A40FB6"/>
    <w:rsid w:val="00A5531A"/>
    <w:rsid w:val="00A854A9"/>
    <w:rsid w:val="00A973D4"/>
    <w:rsid w:val="00B7307A"/>
    <w:rsid w:val="00BC59D1"/>
    <w:rsid w:val="00BE7D67"/>
    <w:rsid w:val="00C50A87"/>
    <w:rsid w:val="00C83E0D"/>
    <w:rsid w:val="00E42829"/>
    <w:rsid w:val="00EA1D31"/>
    <w:rsid w:val="00EF20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20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2024"/>
    <w:rPr>
      <w:sz w:val="20"/>
      <w:szCs w:val="20"/>
    </w:rPr>
  </w:style>
  <w:style w:type="character" w:styleId="Refdenotaalpie">
    <w:name w:val="footnote reference"/>
    <w:basedOn w:val="Fuentedeprrafopredeter"/>
    <w:uiPriority w:val="99"/>
    <w:semiHidden/>
    <w:unhideWhenUsed/>
    <w:rsid w:val="00EF2024"/>
    <w:rPr>
      <w:vertAlign w:val="superscript"/>
    </w:rPr>
  </w:style>
  <w:style w:type="paragraph" w:styleId="Encabezado">
    <w:name w:val="header"/>
    <w:basedOn w:val="Normal"/>
    <w:link w:val="EncabezadoCar"/>
    <w:uiPriority w:val="99"/>
    <w:unhideWhenUsed/>
    <w:rsid w:val="002C2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2E14"/>
  </w:style>
  <w:style w:type="paragraph" w:styleId="Piedepgina">
    <w:name w:val="footer"/>
    <w:basedOn w:val="Normal"/>
    <w:link w:val="PiedepginaCar"/>
    <w:uiPriority w:val="99"/>
    <w:unhideWhenUsed/>
    <w:rsid w:val="002C2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2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20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2024"/>
    <w:rPr>
      <w:sz w:val="20"/>
      <w:szCs w:val="20"/>
    </w:rPr>
  </w:style>
  <w:style w:type="character" w:styleId="Refdenotaalpie">
    <w:name w:val="footnote reference"/>
    <w:basedOn w:val="Fuentedeprrafopredeter"/>
    <w:uiPriority w:val="99"/>
    <w:semiHidden/>
    <w:unhideWhenUsed/>
    <w:rsid w:val="00EF2024"/>
    <w:rPr>
      <w:vertAlign w:val="superscript"/>
    </w:rPr>
  </w:style>
  <w:style w:type="paragraph" w:styleId="Encabezado">
    <w:name w:val="header"/>
    <w:basedOn w:val="Normal"/>
    <w:link w:val="EncabezadoCar"/>
    <w:uiPriority w:val="99"/>
    <w:unhideWhenUsed/>
    <w:rsid w:val="002C2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2E14"/>
  </w:style>
  <w:style w:type="paragraph" w:styleId="Piedepgina">
    <w:name w:val="footer"/>
    <w:basedOn w:val="Normal"/>
    <w:link w:val="PiedepginaCar"/>
    <w:uiPriority w:val="99"/>
    <w:unhideWhenUsed/>
    <w:rsid w:val="002C2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82F4-6463-4CC2-9FF3-1D764B69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3654</Words>
  <Characters>20100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2015-11-02T18:47:00Z</dcterms:created>
  <dcterms:modified xsi:type="dcterms:W3CDTF">2015-11-02T18:47:00Z</dcterms:modified>
</cp:coreProperties>
</file>