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0056" w14:textId="77777777" w:rsidR="0064156C" w:rsidRPr="0052028E" w:rsidRDefault="0064156C" w:rsidP="001A7DEF">
      <w:pPr>
        <w:rPr>
          <w:rFonts w:ascii="Times New Roman" w:eastAsia="Times New Roman" w:hAnsi="Times New Roman" w:cs="Times New Roman"/>
          <w:b/>
        </w:rPr>
      </w:pPr>
    </w:p>
    <w:p w14:paraId="51B7B1D7" w14:textId="77777777" w:rsidR="0064156C" w:rsidRPr="0052028E" w:rsidRDefault="0064156C" w:rsidP="001A7DEF">
      <w:pPr>
        <w:rPr>
          <w:rFonts w:ascii="Times New Roman" w:eastAsia="Times New Roman" w:hAnsi="Times New Roman" w:cs="Times New Roman"/>
          <w:b/>
        </w:rPr>
      </w:pPr>
    </w:p>
    <w:p w14:paraId="0F2E73B4" w14:textId="77777777" w:rsidR="0064156C" w:rsidRPr="0052028E" w:rsidRDefault="0064156C" w:rsidP="001A7DEF">
      <w:pPr>
        <w:rPr>
          <w:rFonts w:ascii="Times New Roman" w:eastAsia="Times New Roman" w:hAnsi="Times New Roman" w:cs="Times New Roman"/>
          <w:b/>
        </w:rPr>
      </w:pPr>
    </w:p>
    <w:p w14:paraId="7E300981" w14:textId="3642E1A4" w:rsidR="00E944AB" w:rsidRPr="0052028E" w:rsidRDefault="00E944AB" w:rsidP="00E944AB">
      <w:pPr>
        <w:widowControl w:val="0"/>
        <w:autoSpaceDE w:val="0"/>
        <w:autoSpaceDN w:val="0"/>
        <w:adjustRightInd w:val="0"/>
        <w:jc w:val="center"/>
        <w:rPr>
          <w:rFonts w:ascii="Times New Roman" w:hAnsi="Times New Roman" w:cs="Times New Roman"/>
          <w:b/>
          <w:color w:val="000000" w:themeColor="text1"/>
          <w:sz w:val="28"/>
          <w:szCs w:val="28"/>
        </w:rPr>
      </w:pPr>
      <w:r w:rsidRPr="0052028E">
        <w:rPr>
          <w:rFonts w:ascii="Times New Roman" w:hAnsi="Times New Roman" w:cs="Times New Roman"/>
          <w:b/>
          <w:color w:val="000000" w:themeColor="text1"/>
          <w:sz w:val="28"/>
          <w:szCs w:val="28"/>
        </w:rPr>
        <w:t>NACIONES UNIDAS</w:t>
      </w:r>
    </w:p>
    <w:p w14:paraId="13E9A289" w14:textId="4292F7A8" w:rsidR="00E944AB" w:rsidRPr="0052028E" w:rsidRDefault="00E944AB" w:rsidP="00E944AB">
      <w:pPr>
        <w:widowControl w:val="0"/>
        <w:autoSpaceDE w:val="0"/>
        <w:autoSpaceDN w:val="0"/>
        <w:adjustRightInd w:val="0"/>
        <w:jc w:val="center"/>
        <w:rPr>
          <w:rFonts w:ascii="Times New Roman" w:hAnsi="Times New Roman" w:cs="Times New Roman"/>
          <w:b/>
          <w:color w:val="000000" w:themeColor="text1"/>
          <w:sz w:val="28"/>
          <w:szCs w:val="28"/>
        </w:rPr>
      </w:pPr>
      <w:r w:rsidRPr="0052028E">
        <w:rPr>
          <w:rFonts w:ascii="Times New Roman" w:hAnsi="Times New Roman" w:cs="Times New Roman"/>
          <w:b/>
          <w:color w:val="000000" w:themeColor="text1"/>
          <w:sz w:val="28"/>
          <w:szCs w:val="28"/>
        </w:rPr>
        <w:t>CONVE</w:t>
      </w:r>
      <w:r w:rsidR="0031120F">
        <w:rPr>
          <w:rFonts w:ascii="Times New Roman" w:hAnsi="Times New Roman" w:cs="Times New Roman"/>
          <w:b/>
          <w:color w:val="000000" w:themeColor="text1"/>
          <w:sz w:val="28"/>
          <w:szCs w:val="28"/>
        </w:rPr>
        <w:t>N</w:t>
      </w:r>
      <w:r w:rsidRPr="0052028E">
        <w:rPr>
          <w:rFonts w:ascii="Times New Roman" w:hAnsi="Times New Roman" w:cs="Times New Roman"/>
          <w:b/>
          <w:color w:val="000000" w:themeColor="text1"/>
          <w:sz w:val="28"/>
          <w:szCs w:val="28"/>
        </w:rPr>
        <w:t>CIÓN SOBRE LOS DERECHOS DEL NIÑO (CRC)</w:t>
      </w:r>
    </w:p>
    <w:p w14:paraId="050D213D" w14:textId="35CBD667" w:rsidR="00E944AB" w:rsidRPr="0052028E" w:rsidRDefault="000B12B1" w:rsidP="00E944AB">
      <w:pPr>
        <w:widowControl w:val="0"/>
        <w:autoSpaceDE w:val="0"/>
        <w:autoSpaceDN w:val="0"/>
        <w:adjustRightInd w:val="0"/>
        <w:jc w:val="center"/>
        <w:rPr>
          <w:rFonts w:ascii="Times New Roman" w:hAnsi="Times New Roman" w:cs="Times New Roman"/>
          <w:b/>
          <w:color w:val="000000" w:themeColor="text1"/>
          <w:sz w:val="28"/>
          <w:szCs w:val="28"/>
        </w:rPr>
      </w:pPr>
      <w:r w:rsidRPr="0052028E">
        <w:rPr>
          <w:rFonts w:ascii="Times New Roman" w:hAnsi="Times New Roman" w:cs="Times New Roman"/>
          <w:b/>
          <w:bCs/>
          <w:sz w:val="28"/>
          <w:szCs w:val="28"/>
          <w:lang w:val="es-ES_tradnl"/>
        </w:rPr>
        <w:t>70º PERÍODO DE SESIONES</w:t>
      </w:r>
      <w:r w:rsidR="00E944AB" w:rsidRPr="0052028E">
        <w:rPr>
          <w:rFonts w:ascii="Times New Roman" w:hAnsi="Times New Roman" w:cs="Times New Roman"/>
          <w:b/>
          <w:color w:val="000000" w:themeColor="text1"/>
          <w:sz w:val="28"/>
          <w:szCs w:val="28"/>
        </w:rPr>
        <w:t>, GINEBRA, SUIZA</w:t>
      </w:r>
    </w:p>
    <w:p w14:paraId="63C0CEDD" w14:textId="687906EF" w:rsidR="00E944AB" w:rsidRPr="0052028E" w:rsidRDefault="00E944AB" w:rsidP="00E944AB">
      <w:pPr>
        <w:widowControl w:val="0"/>
        <w:autoSpaceDE w:val="0"/>
        <w:autoSpaceDN w:val="0"/>
        <w:adjustRightInd w:val="0"/>
        <w:jc w:val="center"/>
        <w:rPr>
          <w:rFonts w:ascii="Times New Roman" w:hAnsi="Times New Roman" w:cs="Times New Roman"/>
          <w:b/>
          <w:color w:val="000000" w:themeColor="text1"/>
          <w:sz w:val="28"/>
          <w:szCs w:val="28"/>
        </w:rPr>
      </w:pPr>
      <w:r w:rsidRPr="0052028E">
        <w:rPr>
          <w:rFonts w:ascii="Times New Roman" w:hAnsi="Times New Roman" w:cs="Times New Roman"/>
          <w:b/>
          <w:color w:val="000000" w:themeColor="text1"/>
          <w:sz w:val="28"/>
          <w:szCs w:val="28"/>
        </w:rPr>
        <w:t>14 DE SEPTIEMBRE – 2 DE OCTUBRE 2015</w:t>
      </w:r>
    </w:p>
    <w:p w14:paraId="76CCECD7" w14:textId="77777777" w:rsidR="00E944AB" w:rsidRPr="0052028E" w:rsidRDefault="00E944AB" w:rsidP="00E944AB">
      <w:pPr>
        <w:widowControl w:val="0"/>
        <w:pBdr>
          <w:bottom w:val="single" w:sz="12" w:space="1" w:color="auto"/>
        </w:pBdr>
        <w:autoSpaceDE w:val="0"/>
        <w:autoSpaceDN w:val="0"/>
        <w:adjustRightInd w:val="0"/>
        <w:spacing w:after="240"/>
        <w:jc w:val="center"/>
        <w:rPr>
          <w:rFonts w:ascii="Times New Roman" w:hAnsi="Times New Roman" w:cs="Times New Roman"/>
          <w:b/>
          <w:color w:val="000000" w:themeColor="text1"/>
        </w:rPr>
      </w:pPr>
    </w:p>
    <w:p w14:paraId="2EA6FE46"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55CEB55C" w14:textId="624EFE3D" w:rsidR="00E944AB" w:rsidRPr="0052028E" w:rsidRDefault="00E944AB" w:rsidP="00E944AB">
      <w:pPr>
        <w:widowControl w:val="0"/>
        <w:autoSpaceDE w:val="0"/>
        <w:autoSpaceDN w:val="0"/>
        <w:adjustRightInd w:val="0"/>
        <w:jc w:val="center"/>
        <w:rPr>
          <w:rFonts w:ascii="Times New Roman" w:hAnsi="Times New Roman" w:cs="Times New Roman"/>
          <w:b/>
          <w:color w:val="000000" w:themeColor="text1"/>
          <w:sz w:val="28"/>
          <w:szCs w:val="28"/>
        </w:rPr>
      </w:pPr>
      <w:r w:rsidRPr="0052028E">
        <w:rPr>
          <w:rFonts w:ascii="Times New Roman" w:hAnsi="Times New Roman" w:cs="Times New Roman"/>
          <w:b/>
          <w:color w:val="000000" w:themeColor="text1"/>
          <w:sz w:val="28"/>
          <w:szCs w:val="28"/>
        </w:rPr>
        <w:t>VIOLACIONES A LOS DERECHOS DE NIÑAS, NIÑOS Y ADOLESCENTES LGBT EN CHILE</w:t>
      </w:r>
    </w:p>
    <w:p w14:paraId="7610641C"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6DDD7045"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6328E8B2"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3373E894"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00AE4F89"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3A2DDF1C"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0CD512B0"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653A9CE3"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14A19E17"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173A81DE"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3A94ED40"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7E5E94A7"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0D79B3CC"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10F34698" w14:textId="77777777"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rPr>
      </w:pPr>
    </w:p>
    <w:p w14:paraId="5FE7F282" w14:textId="3EBE86D2" w:rsidR="00E944AB" w:rsidRPr="0052028E" w:rsidRDefault="00E944AB" w:rsidP="00E944AB">
      <w:pPr>
        <w:widowControl w:val="0"/>
        <w:autoSpaceDE w:val="0"/>
        <w:autoSpaceDN w:val="0"/>
        <w:adjustRightInd w:val="0"/>
        <w:spacing w:after="240"/>
        <w:jc w:val="center"/>
        <w:rPr>
          <w:rFonts w:ascii="Times New Roman" w:hAnsi="Times New Roman" w:cs="Times New Roman"/>
          <w:b/>
          <w:color w:val="000000" w:themeColor="text1"/>
          <w:sz w:val="28"/>
          <w:szCs w:val="28"/>
        </w:rPr>
      </w:pPr>
      <w:r w:rsidRPr="0052028E">
        <w:rPr>
          <w:rFonts w:ascii="Times New Roman" w:hAnsi="Times New Roman" w:cs="Times New Roman"/>
          <w:b/>
          <w:color w:val="000000" w:themeColor="text1"/>
          <w:sz w:val="28"/>
          <w:szCs w:val="28"/>
        </w:rPr>
        <w:t>EN RESPUESTA A</w:t>
      </w:r>
    </w:p>
    <w:p w14:paraId="604F5564" w14:textId="67ECED54" w:rsidR="00E944AB" w:rsidRPr="0052028E" w:rsidRDefault="00E944AB" w:rsidP="00E944AB">
      <w:pPr>
        <w:widowControl w:val="0"/>
        <w:pBdr>
          <w:bottom w:val="single" w:sz="12" w:space="1" w:color="auto"/>
        </w:pBdr>
        <w:autoSpaceDE w:val="0"/>
        <w:autoSpaceDN w:val="0"/>
        <w:adjustRightInd w:val="0"/>
        <w:spacing w:after="240"/>
        <w:jc w:val="center"/>
        <w:rPr>
          <w:rFonts w:ascii="Times New Roman" w:hAnsi="Times New Roman" w:cs="Times New Roman"/>
          <w:b/>
          <w:color w:val="000000" w:themeColor="text1"/>
          <w:sz w:val="28"/>
          <w:szCs w:val="28"/>
        </w:rPr>
      </w:pPr>
      <w:r w:rsidRPr="0052028E">
        <w:rPr>
          <w:rFonts w:ascii="Times New Roman" w:hAnsi="Times New Roman" w:cs="Times New Roman"/>
          <w:b/>
          <w:color w:val="000000" w:themeColor="text1"/>
          <w:sz w:val="28"/>
          <w:szCs w:val="28"/>
        </w:rPr>
        <w:t xml:space="preserve"> LOS INFORMES PERIÓDICOS CUARTO Y QUINTO COMBINADOS DE CHILE AL COMITÉ DE LOS DERECHOS DEL NIÑO</w:t>
      </w:r>
      <w:r w:rsidR="000B12B1" w:rsidRPr="0052028E">
        <w:rPr>
          <w:rFonts w:ascii="Times New Roman" w:hAnsi="Times New Roman" w:cs="Times New Roman"/>
          <w:b/>
          <w:color w:val="000000" w:themeColor="text1"/>
          <w:sz w:val="28"/>
          <w:szCs w:val="28"/>
        </w:rPr>
        <w:t>.</w:t>
      </w:r>
    </w:p>
    <w:p w14:paraId="041977C4" w14:textId="77777777" w:rsidR="0064156C" w:rsidRPr="0052028E" w:rsidRDefault="0064156C" w:rsidP="001A7DEF">
      <w:pPr>
        <w:rPr>
          <w:rFonts w:ascii="Times New Roman" w:eastAsia="Times New Roman" w:hAnsi="Times New Roman" w:cs="Times New Roman"/>
          <w:b/>
        </w:rPr>
      </w:pPr>
    </w:p>
    <w:p w14:paraId="60145698" w14:textId="4A4FD0EE" w:rsidR="0064156C" w:rsidRPr="0052028E" w:rsidRDefault="0052028E" w:rsidP="0064156C">
      <w:pPr>
        <w:jc w:val="center"/>
        <w:rPr>
          <w:rFonts w:ascii="Times New Roman" w:eastAsia="Times New Roman" w:hAnsi="Times New Roman" w:cs="Times New Roman"/>
          <w:b/>
          <w:i/>
          <w:lang w:val="es-ES_tradnl"/>
        </w:rPr>
      </w:pPr>
      <w:r w:rsidRPr="0052028E">
        <w:rPr>
          <w:rFonts w:ascii="Times New Roman" w:eastAsia="Times New Roman" w:hAnsi="Times New Roman" w:cs="Times New Roman"/>
          <w:b/>
          <w:i/>
          <w:lang w:val="es-ES_tradnl"/>
        </w:rPr>
        <w:t>PRESENTADO POR</w:t>
      </w:r>
      <w:r w:rsidR="000B12B1" w:rsidRPr="0052028E">
        <w:rPr>
          <w:rFonts w:ascii="Times New Roman" w:eastAsia="Times New Roman" w:hAnsi="Times New Roman" w:cs="Times New Roman"/>
          <w:b/>
          <w:i/>
          <w:lang w:val="es-ES_tradnl"/>
        </w:rPr>
        <w:t>:</w:t>
      </w:r>
    </w:p>
    <w:p w14:paraId="165DDB87" w14:textId="77777777" w:rsidR="000B12B1" w:rsidRPr="0052028E" w:rsidRDefault="000B12B1" w:rsidP="0064156C">
      <w:pPr>
        <w:jc w:val="center"/>
        <w:rPr>
          <w:rFonts w:ascii="Times New Roman" w:eastAsia="Times New Roman" w:hAnsi="Times New Roman" w:cs="Times New Roman"/>
          <w:b/>
          <w:sz w:val="28"/>
          <w:szCs w:val="28"/>
          <w:lang w:val="es-ES_tradnl"/>
        </w:rPr>
      </w:pPr>
    </w:p>
    <w:p w14:paraId="730F15CC" w14:textId="6A0C83B8" w:rsidR="0052028E" w:rsidRDefault="0052028E" w:rsidP="0064156C">
      <w:pPr>
        <w:jc w:val="center"/>
        <w:rPr>
          <w:rFonts w:ascii="Times New Roman" w:eastAsia="Times New Roman" w:hAnsi="Times New Roman" w:cs="Times New Roman"/>
          <w:b/>
          <w:sz w:val="28"/>
          <w:szCs w:val="28"/>
          <w:lang w:val="es-ES_tradnl"/>
        </w:rPr>
      </w:pPr>
      <w:r w:rsidRPr="0052028E">
        <w:rPr>
          <w:rFonts w:ascii="Times New Roman" w:eastAsia="Times New Roman" w:hAnsi="Times New Roman" w:cs="Times New Roman"/>
          <w:b/>
          <w:sz w:val="28"/>
          <w:szCs w:val="28"/>
          <w:lang w:val="es-ES_tradnl"/>
        </w:rPr>
        <w:t xml:space="preserve">Fundación Iguales </w:t>
      </w:r>
    </w:p>
    <w:p w14:paraId="5D25649E" w14:textId="7E91F89B" w:rsidR="00593DA5" w:rsidRPr="00593DA5" w:rsidRDefault="00593DA5" w:rsidP="0064156C">
      <w:pPr>
        <w:jc w:val="center"/>
        <w:rPr>
          <w:rFonts w:ascii="Times New Roman" w:eastAsia="Times New Roman" w:hAnsi="Times New Roman" w:cs="Times New Roman"/>
          <w:sz w:val="28"/>
          <w:szCs w:val="28"/>
          <w:lang w:val="es-ES_tradnl"/>
        </w:rPr>
      </w:pPr>
      <w:r w:rsidRPr="00593DA5">
        <w:rPr>
          <w:rFonts w:ascii="Times New Roman" w:eastAsia="Times New Roman" w:hAnsi="Times New Roman" w:cs="Times New Roman"/>
          <w:sz w:val="28"/>
          <w:szCs w:val="28"/>
          <w:lang w:val="es-ES_tradnl"/>
        </w:rPr>
        <w:t>Santiago, Chile</w:t>
      </w:r>
    </w:p>
    <w:p w14:paraId="24C41D0F" w14:textId="77777777" w:rsidR="0052028E" w:rsidRPr="0052028E" w:rsidRDefault="0052028E" w:rsidP="0064156C">
      <w:pPr>
        <w:jc w:val="center"/>
        <w:rPr>
          <w:rFonts w:ascii="Times New Roman" w:eastAsia="Times New Roman" w:hAnsi="Times New Roman" w:cs="Times New Roman"/>
          <w:b/>
          <w:sz w:val="28"/>
          <w:szCs w:val="28"/>
          <w:lang w:val="es-ES_tradnl"/>
        </w:rPr>
      </w:pPr>
    </w:p>
    <w:p w14:paraId="1A9FB3E9" w14:textId="7BC5B779" w:rsidR="000B12B1" w:rsidRPr="0052028E" w:rsidRDefault="000B12B1" w:rsidP="0064156C">
      <w:pPr>
        <w:jc w:val="center"/>
        <w:rPr>
          <w:rFonts w:ascii="Times New Roman" w:eastAsia="Times New Roman" w:hAnsi="Times New Roman" w:cs="Times New Roman"/>
          <w:b/>
          <w:sz w:val="28"/>
          <w:szCs w:val="28"/>
          <w:lang w:val="es-ES_tradnl"/>
        </w:rPr>
      </w:pPr>
      <w:r w:rsidRPr="0052028E">
        <w:rPr>
          <w:rFonts w:ascii="Times New Roman" w:eastAsia="Times New Roman" w:hAnsi="Times New Roman" w:cs="Times New Roman"/>
          <w:b/>
          <w:sz w:val="28"/>
          <w:szCs w:val="28"/>
          <w:lang w:val="es-ES_tradnl"/>
        </w:rPr>
        <w:t>MADRE</w:t>
      </w:r>
    </w:p>
    <w:p w14:paraId="5884E1EB" w14:textId="048ADE10" w:rsidR="0064156C" w:rsidRPr="00593DA5" w:rsidRDefault="00593DA5" w:rsidP="0064156C">
      <w:pPr>
        <w:jc w:val="center"/>
        <w:rPr>
          <w:rFonts w:ascii="Times New Roman" w:eastAsia="Times New Roman" w:hAnsi="Times New Roman" w:cs="Times New Roman"/>
          <w:sz w:val="28"/>
          <w:szCs w:val="28"/>
        </w:rPr>
      </w:pPr>
      <w:r w:rsidRPr="00593DA5">
        <w:rPr>
          <w:rFonts w:ascii="Times New Roman" w:eastAsia="Times New Roman" w:hAnsi="Times New Roman" w:cs="Times New Roman"/>
          <w:sz w:val="28"/>
          <w:szCs w:val="28"/>
        </w:rPr>
        <w:t>New York, New York</w:t>
      </w:r>
    </w:p>
    <w:p w14:paraId="40FB5223" w14:textId="77777777" w:rsidR="00593DA5" w:rsidRPr="0052028E" w:rsidRDefault="00593DA5" w:rsidP="0064156C">
      <w:pPr>
        <w:jc w:val="center"/>
        <w:rPr>
          <w:rFonts w:ascii="Times New Roman" w:eastAsia="Times New Roman" w:hAnsi="Times New Roman" w:cs="Times New Roman"/>
          <w:b/>
        </w:rPr>
      </w:pPr>
    </w:p>
    <w:p w14:paraId="0B2F2104" w14:textId="1A68E41C" w:rsidR="000B12B1" w:rsidRPr="0052028E" w:rsidRDefault="000B12B1" w:rsidP="000B12B1">
      <w:pPr>
        <w:jc w:val="center"/>
        <w:rPr>
          <w:rFonts w:ascii="Times New Roman" w:hAnsi="Times New Roman" w:cs="Times New Roman"/>
          <w:b/>
          <w:sz w:val="28"/>
          <w:szCs w:val="28"/>
        </w:rPr>
      </w:pPr>
      <w:r w:rsidRPr="0052028E">
        <w:rPr>
          <w:rFonts w:ascii="Times New Roman" w:hAnsi="Times New Roman" w:cs="Times New Roman"/>
          <w:b/>
          <w:sz w:val="28"/>
          <w:szCs w:val="28"/>
        </w:rPr>
        <w:t>Clínica de Derechos Humanos de la Mujer</w:t>
      </w:r>
    </w:p>
    <w:p w14:paraId="0A020965" w14:textId="4503CB41" w:rsidR="000B12B1" w:rsidRPr="0052028E" w:rsidRDefault="000B12B1" w:rsidP="000B12B1">
      <w:pPr>
        <w:jc w:val="center"/>
        <w:rPr>
          <w:rFonts w:ascii="Times New Roman" w:hAnsi="Times New Roman" w:cs="Times New Roman"/>
          <w:b/>
          <w:sz w:val="20"/>
          <w:szCs w:val="20"/>
        </w:rPr>
      </w:pPr>
      <w:r w:rsidRPr="0052028E">
        <w:rPr>
          <w:rFonts w:ascii="Times New Roman" w:hAnsi="Times New Roman" w:cs="Times New Roman"/>
          <w:b/>
          <w:sz w:val="28"/>
          <w:szCs w:val="28"/>
        </w:rPr>
        <w:t>City University de New York</w:t>
      </w:r>
    </w:p>
    <w:p w14:paraId="074AEE7F" w14:textId="6E1B58DF" w:rsidR="0064156C" w:rsidRPr="0052028E" w:rsidRDefault="0064156C" w:rsidP="000B12B1">
      <w:pPr>
        <w:widowControl w:val="0"/>
        <w:autoSpaceDE w:val="0"/>
        <w:autoSpaceDN w:val="0"/>
        <w:adjustRightInd w:val="0"/>
        <w:spacing w:after="240"/>
        <w:jc w:val="center"/>
        <w:rPr>
          <w:rFonts w:ascii="Times New Roman" w:eastAsia="Times New Roman" w:hAnsi="Times New Roman" w:cs="Times New Roman"/>
          <w:b/>
        </w:rPr>
      </w:pPr>
    </w:p>
    <w:p w14:paraId="60AC397A" w14:textId="77777777" w:rsidR="0064156C" w:rsidRPr="0052028E" w:rsidRDefault="0064156C" w:rsidP="001A7DEF">
      <w:pPr>
        <w:rPr>
          <w:rFonts w:ascii="Times New Roman" w:eastAsia="Times New Roman" w:hAnsi="Times New Roman" w:cs="Times New Roman"/>
          <w:b/>
        </w:rPr>
      </w:pPr>
    </w:p>
    <w:p w14:paraId="4A25F821" w14:textId="77777777" w:rsidR="0064156C" w:rsidRPr="0052028E" w:rsidRDefault="0064156C" w:rsidP="001A7DEF">
      <w:pPr>
        <w:rPr>
          <w:rFonts w:ascii="Times New Roman" w:eastAsia="Times New Roman" w:hAnsi="Times New Roman" w:cs="Times New Roman"/>
          <w:b/>
        </w:rPr>
      </w:pPr>
    </w:p>
    <w:p w14:paraId="2DACD8AA" w14:textId="77777777" w:rsidR="0064156C" w:rsidRPr="0052028E" w:rsidRDefault="0064156C" w:rsidP="001A7DEF">
      <w:pPr>
        <w:rPr>
          <w:rFonts w:ascii="Times New Roman" w:eastAsia="Times New Roman" w:hAnsi="Times New Roman" w:cs="Times New Roman"/>
          <w:b/>
        </w:rPr>
      </w:pPr>
    </w:p>
    <w:p w14:paraId="5B00C0F5" w14:textId="77777777" w:rsidR="0064156C" w:rsidRPr="0052028E" w:rsidRDefault="0064156C" w:rsidP="001A7DEF">
      <w:pPr>
        <w:rPr>
          <w:rFonts w:ascii="Times New Roman" w:eastAsia="Times New Roman" w:hAnsi="Times New Roman" w:cs="Times New Roman"/>
          <w:b/>
        </w:rPr>
      </w:pPr>
    </w:p>
    <w:p w14:paraId="46F7509E" w14:textId="77777777" w:rsidR="0064156C" w:rsidRPr="0052028E" w:rsidRDefault="0064156C" w:rsidP="001A7DEF">
      <w:pPr>
        <w:rPr>
          <w:rFonts w:ascii="Times New Roman" w:eastAsia="Times New Roman" w:hAnsi="Times New Roman" w:cs="Times New Roman"/>
          <w:b/>
        </w:rPr>
      </w:pPr>
    </w:p>
    <w:p w14:paraId="18DCA088" w14:textId="77777777" w:rsidR="0064156C" w:rsidRPr="0052028E" w:rsidRDefault="0064156C" w:rsidP="001A7DEF">
      <w:pPr>
        <w:rPr>
          <w:rFonts w:ascii="Times New Roman" w:eastAsia="Times New Roman" w:hAnsi="Times New Roman" w:cs="Times New Roman"/>
          <w:b/>
        </w:rPr>
      </w:pPr>
    </w:p>
    <w:p w14:paraId="630740CB" w14:textId="77777777" w:rsidR="0064156C" w:rsidRPr="0052028E" w:rsidRDefault="0064156C" w:rsidP="001A7DEF">
      <w:pPr>
        <w:rPr>
          <w:rFonts w:ascii="Times New Roman" w:eastAsia="Times New Roman" w:hAnsi="Times New Roman" w:cs="Times New Roman"/>
          <w:b/>
        </w:rPr>
      </w:pPr>
    </w:p>
    <w:p w14:paraId="284D9F36" w14:textId="77777777" w:rsidR="0064156C" w:rsidRPr="0052028E" w:rsidRDefault="0064156C" w:rsidP="001A7DEF">
      <w:pPr>
        <w:rPr>
          <w:rFonts w:ascii="Times New Roman" w:eastAsia="Times New Roman" w:hAnsi="Times New Roman" w:cs="Times New Roman"/>
          <w:b/>
        </w:rPr>
      </w:pPr>
    </w:p>
    <w:p w14:paraId="44E1B0EF" w14:textId="77777777" w:rsidR="0064156C" w:rsidRPr="0052028E" w:rsidRDefault="0064156C" w:rsidP="001A7DEF">
      <w:pPr>
        <w:rPr>
          <w:rFonts w:ascii="Times New Roman" w:eastAsia="Times New Roman" w:hAnsi="Times New Roman" w:cs="Times New Roman"/>
          <w:b/>
        </w:rPr>
      </w:pPr>
    </w:p>
    <w:p w14:paraId="214DA442" w14:textId="77777777" w:rsidR="0064156C" w:rsidRPr="0052028E" w:rsidRDefault="0064156C" w:rsidP="001A7DEF">
      <w:pPr>
        <w:rPr>
          <w:rFonts w:ascii="Times New Roman" w:eastAsia="Times New Roman" w:hAnsi="Times New Roman" w:cs="Times New Roman"/>
          <w:b/>
        </w:rPr>
      </w:pPr>
    </w:p>
    <w:p w14:paraId="3AA32CE0" w14:textId="77777777" w:rsidR="0064156C" w:rsidRPr="0052028E" w:rsidRDefault="0064156C" w:rsidP="001A7DEF">
      <w:pPr>
        <w:rPr>
          <w:rFonts w:ascii="Times New Roman" w:eastAsia="Times New Roman" w:hAnsi="Times New Roman" w:cs="Times New Roman"/>
          <w:b/>
        </w:rPr>
      </w:pPr>
    </w:p>
    <w:p w14:paraId="20FD705C" w14:textId="77777777" w:rsidR="0064156C" w:rsidRPr="0052028E" w:rsidRDefault="0064156C" w:rsidP="001A7DEF">
      <w:pPr>
        <w:rPr>
          <w:rFonts w:ascii="Times New Roman" w:eastAsia="Times New Roman" w:hAnsi="Times New Roman" w:cs="Times New Roman"/>
          <w:b/>
        </w:rPr>
      </w:pPr>
    </w:p>
    <w:p w14:paraId="35CC2AE0" w14:textId="77777777" w:rsidR="0064156C" w:rsidRPr="0052028E" w:rsidRDefault="0064156C" w:rsidP="001A7DEF">
      <w:pPr>
        <w:rPr>
          <w:rFonts w:ascii="Times New Roman" w:eastAsia="Times New Roman" w:hAnsi="Times New Roman" w:cs="Times New Roman"/>
          <w:b/>
        </w:rPr>
      </w:pPr>
    </w:p>
    <w:p w14:paraId="7495A8B7" w14:textId="77777777" w:rsidR="0064156C" w:rsidRPr="0052028E" w:rsidRDefault="0064156C" w:rsidP="001A7DEF">
      <w:pPr>
        <w:rPr>
          <w:rFonts w:ascii="Times New Roman" w:eastAsia="Times New Roman" w:hAnsi="Times New Roman" w:cs="Times New Roman"/>
          <w:b/>
        </w:rPr>
      </w:pPr>
    </w:p>
    <w:p w14:paraId="2C76706A" w14:textId="77777777" w:rsidR="0064156C" w:rsidRPr="0052028E" w:rsidRDefault="0064156C" w:rsidP="001A7DEF">
      <w:pPr>
        <w:rPr>
          <w:rFonts w:ascii="Times New Roman" w:eastAsia="Times New Roman" w:hAnsi="Times New Roman" w:cs="Times New Roman"/>
          <w:b/>
        </w:rPr>
      </w:pPr>
    </w:p>
    <w:p w14:paraId="56C356C4" w14:textId="77777777" w:rsidR="0064156C" w:rsidRPr="0052028E" w:rsidRDefault="0064156C" w:rsidP="001A7DEF">
      <w:pPr>
        <w:rPr>
          <w:rFonts w:ascii="Times New Roman" w:eastAsia="Times New Roman" w:hAnsi="Times New Roman" w:cs="Times New Roman"/>
          <w:b/>
        </w:rPr>
      </w:pPr>
    </w:p>
    <w:p w14:paraId="1EE48941" w14:textId="77777777" w:rsidR="0064156C" w:rsidRPr="0052028E" w:rsidRDefault="0064156C" w:rsidP="001A7DEF">
      <w:pPr>
        <w:rPr>
          <w:rFonts w:ascii="Times New Roman" w:eastAsia="Times New Roman" w:hAnsi="Times New Roman" w:cs="Times New Roman"/>
          <w:b/>
        </w:rPr>
      </w:pPr>
    </w:p>
    <w:p w14:paraId="4072333E" w14:textId="77777777" w:rsidR="0064156C" w:rsidRPr="0052028E" w:rsidRDefault="0064156C" w:rsidP="001A7DEF">
      <w:pPr>
        <w:rPr>
          <w:rFonts w:ascii="Times New Roman" w:eastAsia="Times New Roman" w:hAnsi="Times New Roman" w:cs="Times New Roman"/>
          <w:b/>
        </w:rPr>
      </w:pPr>
    </w:p>
    <w:p w14:paraId="7824A6F0" w14:textId="77777777" w:rsidR="0064156C" w:rsidRPr="0052028E" w:rsidRDefault="0064156C" w:rsidP="001A7DEF">
      <w:pPr>
        <w:rPr>
          <w:rFonts w:ascii="Times New Roman" w:eastAsia="Times New Roman" w:hAnsi="Times New Roman" w:cs="Times New Roman"/>
          <w:b/>
        </w:rPr>
      </w:pPr>
    </w:p>
    <w:p w14:paraId="31254817" w14:textId="77777777" w:rsidR="0064156C" w:rsidRPr="0052028E" w:rsidRDefault="0064156C" w:rsidP="001A7DEF">
      <w:pPr>
        <w:rPr>
          <w:rFonts w:ascii="Times New Roman" w:eastAsia="Times New Roman" w:hAnsi="Times New Roman" w:cs="Times New Roman"/>
          <w:b/>
        </w:rPr>
      </w:pPr>
    </w:p>
    <w:p w14:paraId="7E4B5A6A" w14:textId="77777777" w:rsidR="0064156C" w:rsidRPr="0052028E" w:rsidRDefault="0064156C" w:rsidP="001A7DEF">
      <w:pPr>
        <w:rPr>
          <w:rFonts w:ascii="Times New Roman" w:eastAsia="Times New Roman" w:hAnsi="Times New Roman" w:cs="Times New Roman"/>
          <w:b/>
        </w:rPr>
      </w:pPr>
    </w:p>
    <w:p w14:paraId="2BD8A053" w14:textId="77777777" w:rsidR="0064156C" w:rsidRPr="0052028E" w:rsidRDefault="0064156C" w:rsidP="001A7DEF">
      <w:pPr>
        <w:rPr>
          <w:rFonts w:ascii="Times New Roman" w:eastAsia="Times New Roman" w:hAnsi="Times New Roman" w:cs="Times New Roman"/>
          <w:b/>
        </w:rPr>
      </w:pPr>
    </w:p>
    <w:p w14:paraId="308B67E5" w14:textId="77777777" w:rsidR="0064156C" w:rsidRPr="0052028E" w:rsidRDefault="0064156C" w:rsidP="001A7DEF">
      <w:pPr>
        <w:rPr>
          <w:rFonts w:ascii="Times New Roman" w:eastAsia="Times New Roman" w:hAnsi="Times New Roman" w:cs="Times New Roman"/>
          <w:b/>
        </w:rPr>
      </w:pPr>
    </w:p>
    <w:p w14:paraId="6F1D8A90" w14:textId="77777777" w:rsidR="0064156C" w:rsidRPr="0052028E" w:rsidRDefault="0064156C" w:rsidP="001A7DEF">
      <w:pPr>
        <w:rPr>
          <w:rFonts w:ascii="Times New Roman" w:eastAsia="Times New Roman" w:hAnsi="Times New Roman" w:cs="Times New Roman"/>
          <w:b/>
        </w:rPr>
      </w:pPr>
    </w:p>
    <w:p w14:paraId="5B59B65D" w14:textId="77777777" w:rsidR="0064156C" w:rsidRPr="0052028E" w:rsidRDefault="0064156C" w:rsidP="001A7DEF">
      <w:pPr>
        <w:rPr>
          <w:rFonts w:ascii="Times New Roman" w:eastAsia="Times New Roman" w:hAnsi="Times New Roman" w:cs="Times New Roman"/>
          <w:b/>
        </w:rPr>
      </w:pPr>
    </w:p>
    <w:p w14:paraId="1BB5F7F6" w14:textId="77777777" w:rsidR="0064156C" w:rsidRPr="0052028E" w:rsidRDefault="0064156C" w:rsidP="001A7DEF">
      <w:pPr>
        <w:rPr>
          <w:rFonts w:ascii="Times New Roman" w:eastAsia="Times New Roman" w:hAnsi="Times New Roman" w:cs="Times New Roman"/>
          <w:b/>
        </w:rPr>
      </w:pPr>
    </w:p>
    <w:p w14:paraId="2EF65A9B" w14:textId="77777777" w:rsidR="0064156C" w:rsidRPr="0052028E" w:rsidRDefault="0064156C" w:rsidP="001A7DEF">
      <w:pPr>
        <w:rPr>
          <w:rFonts w:ascii="Times New Roman" w:eastAsia="Times New Roman" w:hAnsi="Times New Roman" w:cs="Times New Roman"/>
          <w:b/>
        </w:rPr>
      </w:pPr>
    </w:p>
    <w:p w14:paraId="3BFEB5AA" w14:textId="77777777" w:rsidR="0064156C" w:rsidRPr="0052028E" w:rsidRDefault="0064156C" w:rsidP="001A7DEF">
      <w:pPr>
        <w:rPr>
          <w:rFonts w:ascii="Times New Roman" w:eastAsia="Times New Roman" w:hAnsi="Times New Roman" w:cs="Times New Roman"/>
          <w:b/>
        </w:rPr>
      </w:pPr>
    </w:p>
    <w:p w14:paraId="358C0DEE" w14:textId="77777777" w:rsidR="0064156C" w:rsidRPr="0052028E" w:rsidRDefault="0064156C" w:rsidP="001A7DEF">
      <w:pPr>
        <w:rPr>
          <w:rFonts w:ascii="Times New Roman" w:eastAsia="Times New Roman" w:hAnsi="Times New Roman" w:cs="Times New Roman"/>
          <w:b/>
        </w:rPr>
      </w:pPr>
    </w:p>
    <w:p w14:paraId="6B292B7D" w14:textId="77777777" w:rsidR="000B12B1" w:rsidRPr="0052028E" w:rsidRDefault="000B12B1" w:rsidP="001A7DEF">
      <w:pPr>
        <w:rPr>
          <w:rFonts w:ascii="Times New Roman" w:eastAsia="Times New Roman" w:hAnsi="Times New Roman" w:cs="Times New Roman"/>
          <w:b/>
        </w:rPr>
      </w:pPr>
    </w:p>
    <w:p w14:paraId="25765CF0" w14:textId="77777777" w:rsidR="000B12B1" w:rsidRPr="0052028E" w:rsidRDefault="000B12B1" w:rsidP="001A7DEF">
      <w:pPr>
        <w:rPr>
          <w:rFonts w:ascii="Times New Roman" w:eastAsia="Times New Roman" w:hAnsi="Times New Roman" w:cs="Times New Roman"/>
          <w:b/>
        </w:rPr>
      </w:pPr>
    </w:p>
    <w:p w14:paraId="58FF2EC3" w14:textId="77777777" w:rsidR="0064156C" w:rsidRPr="0052028E" w:rsidRDefault="0064156C" w:rsidP="001A7DEF">
      <w:pPr>
        <w:rPr>
          <w:rFonts w:ascii="Times New Roman" w:eastAsia="Times New Roman" w:hAnsi="Times New Roman" w:cs="Times New Roman"/>
          <w:b/>
        </w:rPr>
      </w:pPr>
    </w:p>
    <w:p w14:paraId="6052133A" w14:textId="77777777" w:rsidR="0064156C" w:rsidRPr="0052028E" w:rsidRDefault="0064156C" w:rsidP="001A7DEF">
      <w:pPr>
        <w:rPr>
          <w:rFonts w:ascii="Times New Roman" w:eastAsia="Times New Roman" w:hAnsi="Times New Roman" w:cs="Times New Roman"/>
          <w:b/>
        </w:rPr>
      </w:pPr>
    </w:p>
    <w:p w14:paraId="3BD2ED31" w14:textId="0BD6A5B8" w:rsidR="000B12B1" w:rsidRPr="0052028E" w:rsidRDefault="00C07E9C" w:rsidP="000B12B1">
      <w:pPr>
        <w:jc w:val="center"/>
        <w:rPr>
          <w:rFonts w:ascii="Times New Roman" w:eastAsia="Times New Roman" w:hAnsi="Times New Roman" w:cs="Times New Roman"/>
          <w:b/>
        </w:rPr>
      </w:pPr>
      <w:r w:rsidRPr="0052028E">
        <w:rPr>
          <w:rFonts w:ascii="Times New Roman" w:eastAsia="Times New Roman" w:hAnsi="Times New Roman" w:cs="Times New Roman"/>
          <w:b/>
        </w:rPr>
        <w:t>SIGLAS</w:t>
      </w:r>
    </w:p>
    <w:p w14:paraId="76007D5F" w14:textId="77777777" w:rsidR="00C07E9C" w:rsidRPr="0052028E" w:rsidRDefault="00C07E9C" w:rsidP="000B12B1">
      <w:pPr>
        <w:jc w:val="center"/>
        <w:rPr>
          <w:rFonts w:ascii="Times New Roman" w:eastAsia="Times New Roman" w:hAnsi="Times New Roman" w:cs="Times New Roman"/>
          <w:b/>
          <w:lang w:val="es-ES_tradnl"/>
        </w:rPr>
      </w:pPr>
    </w:p>
    <w:p w14:paraId="44A02F3A" w14:textId="77777777" w:rsidR="00C07E9C" w:rsidRPr="0052028E" w:rsidRDefault="00C07E9C" w:rsidP="00C07E9C">
      <w:pPr>
        <w:rPr>
          <w:rFonts w:ascii="Times New Roman" w:eastAsia="Times New Roman" w:hAnsi="Times New Roman" w:cs="Times New Roman"/>
          <w:b/>
          <w:lang w:val="es-ES_tradnl"/>
        </w:rPr>
      </w:pPr>
    </w:p>
    <w:p w14:paraId="6F5B710C" w14:textId="79B62206" w:rsidR="00E63543" w:rsidRPr="0052028E" w:rsidRDefault="00E63543" w:rsidP="00C80A94">
      <w:pPr>
        <w:rPr>
          <w:rFonts w:ascii="Times New Roman" w:hAnsi="Times New Roman" w:cs="Times New Roman"/>
          <w:lang w:val="es-ES_tradnl"/>
        </w:rPr>
      </w:pPr>
      <w:r w:rsidRPr="0052028E">
        <w:rPr>
          <w:rFonts w:ascii="Times New Roman" w:hAnsi="Times New Roman" w:cs="Times New Roman"/>
          <w:b/>
          <w:lang w:val="es-ES_tradnl"/>
        </w:rPr>
        <w:t>LAD</w:t>
      </w:r>
      <w:r w:rsidRPr="0052028E">
        <w:rPr>
          <w:rFonts w:ascii="Times New Roman" w:hAnsi="Times New Roman" w:cs="Times New Roman"/>
          <w:lang w:val="es-ES_tradnl"/>
        </w:rPr>
        <w:t xml:space="preserve"> – Ley Anti- Discriminación </w:t>
      </w:r>
    </w:p>
    <w:p w14:paraId="5EC88E26" w14:textId="77777777" w:rsidR="00C80A94" w:rsidRPr="0052028E" w:rsidRDefault="00C80A94" w:rsidP="00C80A94">
      <w:pPr>
        <w:rPr>
          <w:rFonts w:ascii="Times New Roman" w:hAnsi="Times New Roman" w:cs="Times New Roman"/>
          <w:lang w:val="es-ES_tradnl"/>
        </w:rPr>
      </w:pPr>
    </w:p>
    <w:p w14:paraId="220CC313" w14:textId="36A619DB" w:rsidR="00E63543" w:rsidRPr="0052028E" w:rsidRDefault="00E63543" w:rsidP="00C80A94">
      <w:pPr>
        <w:rPr>
          <w:rFonts w:ascii="Times New Roman" w:hAnsi="Times New Roman" w:cs="Times New Roman"/>
          <w:lang w:val="es-ES_tradnl"/>
        </w:rPr>
      </w:pPr>
      <w:r w:rsidRPr="0052028E">
        <w:rPr>
          <w:rFonts w:ascii="Times New Roman" w:hAnsi="Times New Roman" w:cs="Times New Roman"/>
          <w:b/>
          <w:lang w:val="es-ES_tradnl"/>
        </w:rPr>
        <w:t>CoIDH</w:t>
      </w:r>
      <w:r w:rsidRPr="0052028E">
        <w:rPr>
          <w:rFonts w:ascii="Times New Roman" w:hAnsi="Times New Roman" w:cs="Times New Roman"/>
          <w:lang w:val="es-ES_tradnl"/>
        </w:rPr>
        <w:t xml:space="preserve"> – Corte Interamericana de Derechos Humanos</w:t>
      </w:r>
    </w:p>
    <w:p w14:paraId="4F02375F" w14:textId="77777777" w:rsidR="00C80A94" w:rsidRPr="0052028E" w:rsidRDefault="00C80A94" w:rsidP="00C80A94">
      <w:pPr>
        <w:rPr>
          <w:rFonts w:ascii="Times New Roman" w:hAnsi="Times New Roman" w:cs="Times New Roman"/>
          <w:lang w:val="es-ES_tradnl"/>
        </w:rPr>
      </w:pPr>
    </w:p>
    <w:p w14:paraId="2313231C" w14:textId="353FAF4C" w:rsidR="00C80A94" w:rsidRDefault="00E63543" w:rsidP="00C80A94">
      <w:pPr>
        <w:rPr>
          <w:rFonts w:ascii="Times New Roman" w:hAnsi="Times New Roman" w:cs="Times New Roman"/>
          <w:lang w:val="es-ES_tradnl"/>
        </w:rPr>
      </w:pPr>
      <w:r w:rsidRPr="0052028E">
        <w:rPr>
          <w:rFonts w:ascii="Times New Roman" w:hAnsi="Times New Roman" w:cs="Times New Roman"/>
          <w:b/>
          <w:lang w:val="es-ES_tradnl"/>
        </w:rPr>
        <w:t>LGBT</w:t>
      </w:r>
      <w:r w:rsidRPr="0052028E">
        <w:rPr>
          <w:rFonts w:ascii="Times New Roman" w:hAnsi="Times New Roman" w:cs="Times New Roman"/>
          <w:lang w:val="es-ES_tradnl"/>
        </w:rPr>
        <w:t xml:space="preserve"> - Lesbiana, gay, bisexual y trans</w:t>
      </w:r>
      <w:r w:rsidR="00A85539" w:rsidRPr="0052028E">
        <w:rPr>
          <w:rFonts w:ascii="Times New Roman" w:hAnsi="Times New Roman" w:cs="Times New Roman"/>
          <w:lang w:val="es-ES_tradnl"/>
        </w:rPr>
        <w:t xml:space="preserve">género </w:t>
      </w:r>
    </w:p>
    <w:p w14:paraId="1B33D26F" w14:textId="77777777" w:rsidR="0031120F" w:rsidRDefault="0031120F" w:rsidP="00C80A94">
      <w:pPr>
        <w:rPr>
          <w:rFonts w:ascii="Times New Roman" w:hAnsi="Times New Roman" w:cs="Times New Roman"/>
          <w:lang w:val="es-ES_tradnl"/>
        </w:rPr>
      </w:pPr>
    </w:p>
    <w:p w14:paraId="2E1C9D1B" w14:textId="010E0DA8" w:rsidR="0031120F" w:rsidRPr="0052028E" w:rsidRDefault="0031120F" w:rsidP="00C80A94">
      <w:pPr>
        <w:rPr>
          <w:rFonts w:ascii="Times New Roman" w:hAnsi="Times New Roman" w:cs="Times New Roman"/>
          <w:lang w:val="es-ES_tradnl"/>
        </w:rPr>
      </w:pPr>
      <w:r w:rsidRPr="0031120F">
        <w:rPr>
          <w:rFonts w:ascii="Times New Roman" w:hAnsi="Times New Roman" w:cs="Times New Roman"/>
          <w:b/>
          <w:lang w:val="es-ES_tradnl"/>
        </w:rPr>
        <w:t>MINSAL</w:t>
      </w:r>
      <w:r>
        <w:rPr>
          <w:rFonts w:ascii="Times New Roman" w:hAnsi="Times New Roman" w:cs="Times New Roman"/>
          <w:lang w:val="es-ES_tradnl"/>
        </w:rPr>
        <w:t xml:space="preserve"> – Ministerio de Salud. Gobierno de Chile</w:t>
      </w:r>
    </w:p>
    <w:p w14:paraId="399CA8D0" w14:textId="77777777" w:rsidR="00A85539" w:rsidRPr="0052028E" w:rsidRDefault="00A85539" w:rsidP="00C80A94">
      <w:pPr>
        <w:rPr>
          <w:rFonts w:ascii="Times New Roman" w:hAnsi="Times New Roman" w:cs="Times New Roman"/>
          <w:lang w:val="es-ES_tradnl"/>
        </w:rPr>
      </w:pPr>
    </w:p>
    <w:p w14:paraId="4A051066" w14:textId="548154C6" w:rsidR="00A85539" w:rsidRPr="0052028E" w:rsidRDefault="00A85539" w:rsidP="00C80A94">
      <w:pPr>
        <w:rPr>
          <w:rFonts w:ascii="Times New Roman" w:hAnsi="Times New Roman" w:cs="Times New Roman"/>
          <w:lang w:val="es-ES_tradnl"/>
        </w:rPr>
      </w:pPr>
      <w:r w:rsidRPr="0052028E">
        <w:rPr>
          <w:rFonts w:ascii="Times New Roman" w:hAnsi="Times New Roman" w:cs="Times New Roman"/>
          <w:b/>
          <w:lang w:val="es-ES_tradnl"/>
        </w:rPr>
        <w:t>NNA</w:t>
      </w:r>
      <w:r w:rsidRPr="0052028E">
        <w:rPr>
          <w:rFonts w:ascii="Times New Roman" w:hAnsi="Times New Roman" w:cs="Times New Roman"/>
          <w:lang w:val="es-ES_tradnl"/>
        </w:rPr>
        <w:t xml:space="preserve"> – Niñas, niños y adolescentes. </w:t>
      </w:r>
    </w:p>
    <w:p w14:paraId="5EA485D8" w14:textId="3036BCB8" w:rsidR="00E63543" w:rsidRPr="0052028E" w:rsidRDefault="00E63543" w:rsidP="00C80A94">
      <w:pPr>
        <w:rPr>
          <w:rFonts w:ascii="Times New Roman" w:hAnsi="Times New Roman" w:cs="Times New Roman"/>
          <w:lang w:val="es-ES_tradnl"/>
        </w:rPr>
      </w:pPr>
      <w:r w:rsidRPr="0052028E">
        <w:rPr>
          <w:rFonts w:ascii="Times New Roman" w:hAnsi="Times New Roman" w:cs="Times New Roman"/>
          <w:lang w:val="es-ES_tradnl"/>
        </w:rPr>
        <w:t xml:space="preserve"> </w:t>
      </w:r>
    </w:p>
    <w:p w14:paraId="68AF966B" w14:textId="17141C7E" w:rsidR="00E63543" w:rsidRPr="0052028E" w:rsidRDefault="00E63543" w:rsidP="00C80A94">
      <w:pPr>
        <w:rPr>
          <w:rFonts w:ascii="Times New Roman" w:hAnsi="Times New Roman" w:cs="Times New Roman"/>
          <w:lang w:val="es-ES_tradnl"/>
        </w:rPr>
      </w:pPr>
      <w:r w:rsidRPr="0052028E">
        <w:rPr>
          <w:rFonts w:ascii="Times New Roman" w:hAnsi="Times New Roman" w:cs="Times New Roman"/>
          <w:b/>
          <w:lang w:val="es-ES_tradnl"/>
        </w:rPr>
        <w:t>SENAME</w:t>
      </w:r>
      <w:r w:rsidRPr="0052028E">
        <w:rPr>
          <w:rFonts w:ascii="Times New Roman" w:hAnsi="Times New Roman" w:cs="Times New Roman"/>
          <w:lang w:val="es-ES_tradnl"/>
        </w:rPr>
        <w:t xml:space="preserve"> – Servicio Nacional de Menores </w:t>
      </w:r>
    </w:p>
    <w:p w14:paraId="3EF2A6A0" w14:textId="77777777" w:rsidR="00C80A94" w:rsidRPr="0052028E" w:rsidRDefault="00C80A94" w:rsidP="00C80A94">
      <w:pPr>
        <w:rPr>
          <w:rFonts w:ascii="Times New Roman" w:hAnsi="Times New Roman" w:cs="Times New Roman"/>
          <w:lang w:val="es-ES_tradnl"/>
        </w:rPr>
      </w:pPr>
    </w:p>
    <w:p w14:paraId="332A76BD" w14:textId="716DCEF9" w:rsidR="00E63543" w:rsidRPr="0052028E" w:rsidRDefault="00E63543" w:rsidP="00C80A94">
      <w:pPr>
        <w:rPr>
          <w:rFonts w:ascii="Times New Roman" w:hAnsi="Times New Roman" w:cs="Times New Roman"/>
          <w:lang w:val="es-ES_tradnl"/>
        </w:rPr>
      </w:pPr>
      <w:r w:rsidRPr="0052028E">
        <w:rPr>
          <w:rFonts w:ascii="Times New Roman" w:hAnsi="Times New Roman" w:cs="Times New Roman"/>
          <w:b/>
          <w:lang w:val="es-ES_tradnl"/>
        </w:rPr>
        <w:t>UNESCO</w:t>
      </w:r>
      <w:r w:rsidR="009402E3" w:rsidRPr="0052028E">
        <w:rPr>
          <w:rFonts w:ascii="Times New Roman" w:hAnsi="Times New Roman" w:cs="Times New Roman"/>
          <w:lang w:val="es-ES_tradnl"/>
        </w:rPr>
        <w:t>–</w:t>
      </w:r>
      <w:r w:rsidR="00C80A94" w:rsidRPr="0052028E">
        <w:rPr>
          <w:rFonts w:ascii="Times New Roman" w:hAnsi="Times New Roman" w:cs="Times New Roman"/>
          <w:lang w:val="es-ES_tradnl"/>
        </w:rPr>
        <w:t xml:space="preserve"> </w:t>
      </w:r>
      <w:r w:rsidR="009402E3" w:rsidRPr="0052028E">
        <w:rPr>
          <w:rFonts w:ascii="Times New Roman" w:hAnsi="Times New Roman" w:cs="Times New Roman"/>
          <w:lang w:val="es-ES_tradnl"/>
        </w:rPr>
        <w:t xml:space="preserve">Organización de las Naciones Unidas para la Educación, la Ciencia y la </w:t>
      </w:r>
      <w:r w:rsidR="00C80A94" w:rsidRPr="0052028E">
        <w:rPr>
          <w:rFonts w:ascii="Times New Roman" w:hAnsi="Times New Roman" w:cs="Times New Roman"/>
          <w:lang w:val="es-ES_tradnl"/>
        </w:rPr>
        <w:t xml:space="preserve">Cultura. </w:t>
      </w:r>
    </w:p>
    <w:p w14:paraId="7DEF2269" w14:textId="77777777" w:rsidR="00C80A94" w:rsidRPr="0052028E" w:rsidRDefault="00C80A94" w:rsidP="00C80A94">
      <w:pPr>
        <w:rPr>
          <w:rFonts w:ascii="Times New Roman" w:hAnsi="Times New Roman" w:cs="Times New Roman"/>
          <w:lang w:val="es-ES_tradnl"/>
        </w:rPr>
      </w:pPr>
    </w:p>
    <w:p w14:paraId="7F1A11C4" w14:textId="7F5AA139" w:rsidR="00E63543" w:rsidRPr="0052028E" w:rsidRDefault="00E63543" w:rsidP="00C80A94">
      <w:pPr>
        <w:rPr>
          <w:rFonts w:ascii="Times New Roman" w:hAnsi="Times New Roman" w:cs="Times New Roman"/>
          <w:lang w:val="es-ES_tradnl"/>
        </w:rPr>
      </w:pPr>
      <w:r w:rsidRPr="0052028E">
        <w:rPr>
          <w:rFonts w:ascii="Times New Roman" w:hAnsi="Times New Roman" w:cs="Times New Roman"/>
          <w:b/>
          <w:lang w:val="es-ES_tradnl"/>
        </w:rPr>
        <w:t>UNICEF</w:t>
      </w:r>
      <w:r w:rsidRPr="0052028E">
        <w:rPr>
          <w:rFonts w:ascii="Times New Roman" w:hAnsi="Times New Roman" w:cs="Times New Roman"/>
          <w:lang w:val="es-ES_tradnl"/>
        </w:rPr>
        <w:t xml:space="preserve"> – </w:t>
      </w:r>
      <w:r w:rsidR="009402E3" w:rsidRPr="0052028E">
        <w:rPr>
          <w:rFonts w:ascii="Times New Roman" w:hAnsi="Times New Roman" w:cs="Times New Roman"/>
          <w:lang w:val="es-ES_tradnl"/>
        </w:rPr>
        <w:t>Fondo de las Naciones Unidas para la Infancia</w:t>
      </w:r>
    </w:p>
    <w:p w14:paraId="25E23C2F" w14:textId="77777777" w:rsidR="000B12B1" w:rsidRPr="0052028E" w:rsidRDefault="000B12B1" w:rsidP="001A7DEF">
      <w:pPr>
        <w:rPr>
          <w:rFonts w:ascii="Times New Roman" w:eastAsia="Times New Roman" w:hAnsi="Times New Roman" w:cs="Times New Roman"/>
          <w:b/>
        </w:rPr>
      </w:pPr>
    </w:p>
    <w:p w14:paraId="732B9736" w14:textId="77777777" w:rsidR="000B12B1" w:rsidRPr="0052028E" w:rsidRDefault="000B12B1" w:rsidP="001A7DEF">
      <w:pPr>
        <w:rPr>
          <w:rFonts w:ascii="Times New Roman" w:eastAsia="Times New Roman" w:hAnsi="Times New Roman" w:cs="Times New Roman"/>
          <w:b/>
        </w:rPr>
      </w:pPr>
    </w:p>
    <w:p w14:paraId="6A54DF09" w14:textId="77777777" w:rsidR="000B12B1" w:rsidRPr="0052028E" w:rsidRDefault="000B12B1" w:rsidP="001A7DEF">
      <w:pPr>
        <w:rPr>
          <w:rFonts w:ascii="Times New Roman" w:eastAsia="Times New Roman" w:hAnsi="Times New Roman" w:cs="Times New Roman"/>
          <w:b/>
        </w:rPr>
      </w:pPr>
    </w:p>
    <w:p w14:paraId="54FD562D" w14:textId="77777777" w:rsidR="000B12B1" w:rsidRPr="0052028E" w:rsidRDefault="000B12B1" w:rsidP="001A7DEF">
      <w:pPr>
        <w:rPr>
          <w:rFonts w:ascii="Times New Roman" w:eastAsia="Times New Roman" w:hAnsi="Times New Roman" w:cs="Times New Roman"/>
          <w:b/>
        </w:rPr>
      </w:pPr>
    </w:p>
    <w:p w14:paraId="1D3AB0BD" w14:textId="77777777" w:rsidR="00E63543" w:rsidRPr="0052028E" w:rsidRDefault="00E63543" w:rsidP="001A7DEF">
      <w:pPr>
        <w:rPr>
          <w:rFonts w:ascii="Times New Roman" w:eastAsia="Times New Roman" w:hAnsi="Times New Roman" w:cs="Times New Roman"/>
          <w:b/>
        </w:rPr>
      </w:pPr>
    </w:p>
    <w:p w14:paraId="6F9B15C1" w14:textId="77777777" w:rsidR="00E63543" w:rsidRPr="0052028E" w:rsidRDefault="00E63543" w:rsidP="001A7DEF">
      <w:pPr>
        <w:rPr>
          <w:rFonts w:ascii="Times New Roman" w:eastAsia="Times New Roman" w:hAnsi="Times New Roman" w:cs="Times New Roman"/>
          <w:b/>
        </w:rPr>
      </w:pPr>
    </w:p>
    <w:p w14:paraId="2B9E77D0" w14:textId="77777777" w:rsidR="00E63543" w:rsidRPr="0052028E" w:rsidRDefault="00E63543" w:rsidP="001A7DEF">
      <w:pPr>
        <w:rPr>
          <w:rFonts w:ascii="Times New Roman" w:eastAsia="Times New Roman" w:hAnsi="Times New Roman" w:cs="Times New Roman"/>
          <w:b/>
        </w:rPr>
      </w:pPr>
    </w:p>
    <w:p w14:paraId="79673336" w14:textId="77777777" w:rsidR="00E63543" w:rsidRPr="0052028E" w:rsidRDefault="00E63543" w:rsidP="001A7DEF">
      <w:pPr>
        <w:rPr>
          <w:rFonts w:ascii="Times New Roman" w:eastAsia="Times New Roman" w:hAnsi="Times New Roman" w:cs="Times New Roman"/>
          <w:b/>
        </w:rPr>
      </w:pPr>
    </w:p>
    <w:p w14:paraId="072497DB" w14:textId="77777777" w:rsidR="00E63543" w:rsidRPr="0052028E" w:rsidRDefault="00E63543" w:rsidP="001A7DEF">
      <w:pPr>
        <w:rPr>
          <w:rFonts w:ascii="Times New Roman" w:eastAsia="Times New Roman" w:hAnsi="Times New Roman" w:cs="Times New Roman"/>
          <w:b/>
        </w:rPr>
      </w:pPr>
    </w:p>
    <w:p w14:paraId="21E25C24" w14:textId="77777777" w:rsidR="00E63543" w:rsidRPr="0052028E" w:rsidRDefault="00E63543" w:rsidP="001A7DEF">
      <w:pPr>
        <w:rPr>
          <w:rFonts w:ascii="Times New Roman" w:eastAsia="Times New Roman" w:hAnsi="Times New Roman" w:cs="Times New Roman"/>
          <w:b/>
        </w:rPr>
      </w:pPr>
    </w:p>
    <w:p w14:paraId="03F591AC" w14:textId="77777777" w:rsidR="00E63543" w:rsidRPr="0052028E" w:rsidRDefault="00E63543" w:rsidP="001A7DEF">
      <w:pPr>
        <w:rPr>
          <w:rFonts w:ascii="Times New Roman" w:eastAsia="Times New Roman" w:hAnsi="Times New Roman" w:cs="Times New Roman"/>
          <w:b/>
        </w:rPr>
      </w:pPr>
    </w:p>
    <w:p w14:paraId="7EE2169F" w14:textId="77777777" w:rsidR="00E63543" w:rsidRPr="0052028E" w:rsidRDefault="00E63543" w:rsidP="001A7DEF">
      <w:pPr>
        <w:rPr>
          <w:rFonts w:ascii="Times New Roman" w:eastAsia="Times New Roman" w:hAnsi="Times New Roman" w:cs="Times New Roman"/>
          <w:b/>
        </w:rPr>
      </w:pPr>
    </w:p>
    <w:p w14:paraId="428AD93B" w14:textId="77777777" w:rsidR="00E63543" w:rsidRPr="0052028E" w:rsidRDefault="00E63543" w:rsidP="001A7DEF">
      <w:pPr>
        <w:rPr>
          <w:rFonts w:ascii="Times New Roman" w:eastAsia="Times New Roman" w:hAnsi="Times New Roman" w:cs="Times New Roman"/>
          <w:b/>
        </w:rPr>
      </w:pPr>
    </w:p>
    <w:p w14:paraId="63BC95DB" w14:textId="77777777" w:rsidR="00E63543" w:rsidRPr="0052028E" w:rsidRDefault="00E63543" w:rsidP="001A7DEF">
      <w:pPr>
        <w:rPr>
          <w:rFonts w:ascii="Times New Roman" w:eastAsia="Times New Roman" w:hAnsi="Times New Roman" w:cs="Times New Roman"/>
          <w:b/>
        </w:rPr>
      </w:pPr>
    </w:p>
    <w:p w14:paraId="54CDE233" w14:textId="77777777" w:rsidR="00E63543" w:rsidRPr="0052028E" w:rsidRDefault="00E63543" w:rsidP="001A7DEF">
      <w:pPr>
        <w:rPr>
          <w:rFonts w:ascii="Times New Roman" w:eastAsia="Times New Roman" w:hAnsi="Times New Roman" w:cs="Times New Roman"/>
          <w:b/>
        </w:rPr>
      </w:pPr>
    </w:p>
    <w:p w14:paraId="796BB117" w14:textId="77777777" w:rsidR="00E63543" w:rsidRPr="0052028E" w:rsidRDefault="00E63543" w:rsidP="001A7DEF">
      <w:pPr>
        <w:rPr>
          <w:rFonts w:ascii="Times New Roman" w:eastAsia="Times New Roman" w:hAnsi="Times New Roman" w:cs="Times New Roman"/>
          <w:b/>
        </w:rPr>
      </w:pPr>
    </w:p>
    <w:p w14:paraId="3375B525" w14:textId="77777777" w:rsidR="00E63543" w:rsidRPr="0052028E" w:rsidRDefault="00E63543" w:rsidP="001A7DEF">
      <w:pPr>
        <w:rPr>
          <w:rFonts w:ascii="Times New Roman" w:eastAsia="Times New Roman" w:hAnsi="Times New Roman" w:cs="Times New Roman"/>
          <w:b/>
        </w:rPr>
      </w:pPr>
    </w:p>
    <w:p w14:paraId="45B31499" w14:textId="77777777" w:rsidR="00E63543" w:rsidRPr="0052028E" w:rsidRDefault="00E63543" w:rsidP="001A7DEF">
      <w:pPr>
        <w:rPr>
          <w:rFonts w:ascii="Times New Roman" w:eastAsia="Times New Roman" w:hAnsi="Times New Roman" w:cs="Times New Roman"/>
          <w:b/>
        </w:rPr>
      </w:pPr>
    </w:p>
    <w:p w14:paraId="022A085A" w14:textId="77777777" w:rsidR="00E63543" w:rsidRPr="0052028E" w:rsidRDefault="00E63543" w:rsidP="001A7DEF">
      <w:pPr>
        <w:rPr>
          <w:rFonts w:ascii="Times New Roman" w:eastAsia="Times New Roman" w:hAnsi="Times New Roman" w:cs="Times New Roman"/>
          <w:b/>
        </w:rPr>
      </w:pPr>
    </w:p>
    <w:p w14:paraId="218F2536" w14:textId="77777777" w:rsidR="00E63543" w:rsidRPr="0052028E" w:rsidRDefault="00E63543" w:rsidP="001A7DEF">
      <w:pPr>
        <w:rPr>
          <w:rFonts w:ascii="Times New Roman" w:eastAsia="Times New Roman" w:hAnsi="Times New Roman" w:cs="Times New Roman"/>
          <w:b/>
        </w:rPr>
      </w:pPr>
    </w:p>
    <w:p w14:paraId="0B934B29" w14:textId="77777777" w:rsidR="00E63543" w:rsidRPr="0052028E" w:rsidRDefault="00E63543" w:rsidP="001A7DEF">
      <w:pPr>
        <w:rPr>
          <w:rFonts w:ascii="Times New Roman" w:eastAsia="Times New Roman" w:hAnsi="Times New Roman" w:cs="Times New Roman"/>
          <w:b/>
        </w:rPr>
      </w:pPr>
    </w:p>
    <w:p w14:paraId="2CB71367" w14:textId="77777777" w:rsidR="00E63543" w:rsidRPr="0052028E" w:rsidRDefault="00E63543" w:rsidP="001A7DEF">
      <w:pPr>
        <w:rPr>
          <w:rFonts w:ascii="Times New Roman" w:eastAsia="Times New Roman" w:hAnsi="Times New Roman" w:cs="Times New Roman"/>
          <w:b/>
        </w:rPr>
      </w:pPr>
    </w:p>
    <w:p w14:paraId="0670100B" w14:textId="77777777" w:rsidR="00E63543" w:rsidRPr="0052028E" w:rsidRDefault="00E63543" w:rsidP="001A7DEF">
      <w:pPr>
        <w:rPr>
          <w:rFonts w:ascii="Times New Roman" w:eastAsia="Times New Roman" w:hAnsi="Times New Roman" w:cs="Times New Roman"/>
          <w:b/>
        </w:rPr>
      </w:pPr>
    </w:p>
    <w:p w14:paraId="14241D43" w14:textId="77777777" w:rsidR="00E63543" w:rsidRPr="0052028E" w:rsidRDefault="00E63543" w:rsidP="001A7DEF">
      <w:pPr>
        <w:rPr>
          <w:rFonts w:ascii="Times New Roman" w:eastAsia="Times New Roman" w:hAnsi="Times New Roman" w:cs="Times New Roman"/>
          <w:b/>
        </w:rPr>
      </w:pPr>
    </w:p>
    <w:p w14:paraId="48834DB5" w14:textId="77777777" w:rsidR="00E63543" w:rsidRPr="0052028E" w:rsidRDefault="00E63543" w:rsidP="001A7DEF">
      <w:pPr>
        <w:rPr>
          <w:rFonts w:ascii="Times New Roman" w:eastAsia="Times New Roman" w:hAnsi="Times New Roman" w:cs="Times New Roman"/>
          <w:b/>
        </w:rPr>
      </w:pPr>
    </w:p>
    <w:p w14:paraId="704905B2" w14:textId="77777777" w:rsidR="00E63543" w:rsidRPr="0052028E" w:rsidRDefault="00E63543" w:rsidP="001A7DEF">
      <w:pPr>
        <w:rPr>
          <w:rFonts w:ascii="Times New Roman" w:eastAsia="Times New Roman" w:hAnsi="Times New Roman" w:cs="Times New Roman"/>
          <w:b/>
        </w:rPr>
      </w:pPr>
    </w:p>
    <w:p w14:paraId="3C6C81EA" w14:textId="77777777" w:rsidR="00E63543" w:rsidRPr="0052028E" w:rsidRDefault="00E63543" w:rsidP="001A7DEF">
      <w:pPr>
        <w:rPr>
          <w:rFonts w:ascii="Times New Roman" w:eastAsia="Times New Roman" w:hAnsi="Times New Roman" w:cs="Times New Roman"/>
          <w:b/>
        </w:rPr>
      </w:pPr>
    </w:p>
    <w:p w14:paraId="4A33BE10" w14:textId="77777777" w:rsidR="000B12B1" w:rsidRPr="0052028E" w:rsidRDefault="000B12B1" w:rsidP="001A7DEF">
      <w:pPr>
        <w:rPr>
          <w:rFonts w:ascii="Times New Roman" w:eastAsia="Times New Roman" w:hAnsi="Times New Roman" w:cs="Times New Roman"/>
          <w:b/>
        </w:rPr>
      </w:pPr>
    </w:p>
    <w:p w14:paraId="21A78A89" w14:textId="77777777" w:rsidR="004915F7" w:rsidRPr="0052028E" w:rsidRDefault="004915F7" w:rsidP="001A7DEF">
      <w:pPr>
        <w:rPr>
          <w:rFonts w:ascii="Times New Roman" w:eastAsia="Times New Roman" w:hAnsi="Times New Roman" w:cs="Times New Roman"/>
          <w:b/>
        </w:rPr>
      </w:pPr>
    </w:p>
    <w:p w14:paraId="4CE105A1" w14:textId="77777777" w:rsidR="007D647B" w:rsidRDefault="007D647B" w:rsidP="007D647B">
      <w:pPr>
        <w:pStyle w:val="TDC1"/>
      </w:pPr>
      <w:r>
        <w:t>Tabla de contenidos</w:t>
      </w:r>
    </w:p>
    <w:p w14:paraId="302702FA" w14:textId="77777777" w:rsidR="007D647B" w:rsidRDefault="007D647B" w:rsidP="007D647B">
      <w:pPr>
        <w:pStyle w:val="TDC1"/>
      </w:pPr>
    </w:p>
    <w:p w14:paraId="5A0B72A4" w14:textId="77777777" w:rsidR="007D647B" w:rsidRPr="007D647B" w:rsidRDefault="007D647B" w:rsidP="007D647B"/>
    <w:p w14:paraId="7553B635" w14:textId="77777777" w:rsidR="007D647B" w:rsidRDefault="004915F7">
      <w:pPr>
        <w:pStyle w:val="TDC1"/>
        <w:rPr>
          <w:rFonts w:asciiTheme="minorHAnsi" w:eastAsiaTheme="minorEastAsia" w:hAnsiTheme="minorHAnsi" w:cstheme="minorBidi"/>
          <w:b w:val="0"/>
          <w:caps w:val="0"/>
          <w:noProof/>
          <w:sz w:val="24"/>
          <w:szCs w:val="24"/>
          <w:lang w:eastAsia="ja-JP"/>
        </w:rPr>
      </w:pPr>
      <w:r w:rsidRPr="0052028E">
        <w:fldChar w:fldCharType="begin"/>
      </w:r>
      <w:r w:rsidRPr="007D647B">
        <w:instrText xml:space="preserve"> TOC \o "1-3" </w:instrText>
      </w:r>
      <w:r w:rsidRPr="0052028E">
        <w:fldChar w:fldCharType="separate"/>
      </w:r>
      <w:r w:rsidR="007D647B" w:rsidRPr="00314500">
        <w:rPr>
          <w:noProof/>
          <w:color w:val="000000" w:themeColor="text1"/>
        </w:rPr>
        <w:t>INTRODUCCIÓN</w:t>
      </w:r>
      <w:r w:rsidR="007D647B">
        <w:rPr>
          <w:noProof/>
        </w:rPr>
        <w:tab/>
      </w:r>
      <w:r w:rsidR="007D647B">
        <w:rPr>
          <w:noProof/>
        </w:rPr>
        <w:fldChar w:fldCharType="begin"/>
      </w:r>
      <w:r w:rsidR="007D647B">
        <w:rPr>
          <w:noProof/>
        </w:rPr>
        <w:instrText xml:space="preserve"> PAGEREF _Toc298099158 \h </w:instrText>
      </w:r>
      <w:r w:rsidR="007D647B">
        <w:rPr>
          <w:noProof/>
        </w:rPr>
      </w:r>
      <w:r w:rsidR="007D647B">
        <w:rPr>
          <w:noProof/>
        </w:rPr>
        <w:fldChar w:fldCharType="separate"/>
      </w:r>
      <w:r w:rsidR="007D647B">
        <w:rPr>
          <w:noProof/>
        </w:rPr>
        <w:t>4</w:t>
      </w:r>
      <w:r w:rsidR="007D647B">
        <w:rPr>
          <w:noProof/>
        </w:rPr>
        <w:fldChar w:fldCharType="end"/>
      </w:r>
    </w:p>
    <w:p w14:paraId="278203C5" w14:textId="77777777" w:rsidR="007D647B" w:rsidRDefault="007D647B">
      <w:pPr>
        <w:pStyle w:val="TDC1"/>
        <w:rPr>
          <w:rFonts w:asciiTheme="minorHAnsi" w:eastAsiaTheme="minorEastAsia" w:hAnsiTheme="minorHAnsi" w:cstheme="minorBidi"/>
          <w:b w:val="0"/>
          <w:caps w:val="0"/>
          <w:noProof/>
          <w:sz w:val="24"/>
          <w:szCs w:val="24"/>
          <w:lang w:eastAsia="ja-JP"/>
        </w:rPr>
      </w:pPr>
      <w:r w:rsidRPr="00314500">
        <w:rPr>
          <w:noProof/>
          <w:color w:val="000000" w:themeColor="text1"/>
          <w:lang w:val="es-ES_tradnl"/>
        </w:rPr>
        <w:t>I. Principios generales</w:t>
      </w:r>
      <w:r w:rsidRPr="00314500">
        <w:rPr>
          <w:noProof/>
          <w:color w:val="000000" w:themeColor="text1"/>
        </w:rPr>
        <w:t xml:space="preserve"> (arts. 2, 3, 6 y 12)</w:t>
      </w:r>
      <w:r>
        <w:rPr>
          <w:noProof/>
        </w:rPr>
        <w:tab/>
      </w:r>
      <w:r>
        <w:rPr>
          <w:noProof/>
        </w:rPr>
        <w:fldChar w:fldCharType="begin"/>
      </w:r>
      <w:r>
        <w:rPr>
          <w:noProof/>
        </w:rPr>
        <w:instrText xml:space="preserve"> PAGEREF _Toc298099159 \h </w:instrText>
      </w:r>
      <w:r>
        <w:rPr>
          <w:noProof/>
        </w:rPr>
      </w:r>
      <w:r>
        <w:rPr>
          <w:noProof/>
        </w:rPr>
        <w:fldChar w:fldCharType="separate"/>
      </w:r>
      <w:r>
        <w:rPr>
          <w:noProof/>
        </w:rPr>
        <w:t>6</w:t>
      </w:r>
      <w:r>
        <w:rPr>
          <w:noProof/>
        </w:rPr>
        <w:fldChar w:fldCharType="end"/>
      </w:r>
    </w:p>
    <w:p w14:paraId="41D7616D"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_tradnl"/>
        </w:rPr>
        <w:t>1. La Ley Anti-Discriminación no aplica el principio de la no discriminación de manera efectiva (Artículo 2)</w:t>
      </w:r>
      <w:r>
        <w:rPr>
          <w:noProof/>
        </w:rPr>
        <w:tab/>
      </w:r>
      <w:r>
        <w:rPr>
          <w:noProof/>
        </w:rPr>
        <w:fldChar w:fldCharType="begin"/>
      </w:r>
      <w:r>
        <w:rPr>
          <w:noProof/>
        </w:rPr>
        <w:instrText xml:space="preserve"> PAGEREF _Toc298099160 \h </w:instrText>
      </w:r>
      <w:r>
        <w:rPr>
          <w:noProof/>
        </w:rPr>
      </w:r>
      <w:r>
        <w:rPr>
          <w:noProof/>
        </w:rPr>
        <w:fldChar w:fldCharType="separate"/>
      </w:r>
      <w:r>
        <w:rPr>
          <w:noProof/>
        </w:rPr>
        <w:t>6</w:t>
      </w:r>
      <w:r>
        <w:rPr>
          <w:noProof/>
        </w:rPr>
        <w:fldChar w:fldCharType="end"/>
      </w:r>
    </w:p>
    <w:p w14:paraId="7EC169A9"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
        </w:rPr>
        <w:t>2. Los oficiales públicos a nivel nacional y regional deben recibir educación y capacitaciones adecuadas.</w:t>
      </w:r>
      <w:r>
        <w:rPr>
          <w:noProof/>
        </w:rPr>
        <w:tab/>
      </w:r>
      <w:r>
        <w:rPr>
          <w:noProof/>
        </w:rPr>
        <w:fldChar w:fldCharType="begin"/>
      </w:r>
      <w:r>
        <w:rPr>
          <w:noProof/>
        </w:rPr>
        <w:instrText xml:space="preserve"> PAGEREF _Toc298099161 \h </w:instrText>
      </w:r>
      <w:r>
        <w:rPr>
          <w:noProof/>
        </w:rPr>
      </w:r>
      <w:r>
        <w:rPr>
          <w:noProof/>
        </w:rPr>
        <w:fldChar w:fldCharType="separate"/>
      </w:r>
      <w:r>
        <w:rPr>
          <w:noProof/>
        </w:rPr>
        <w:t>8</w:t>
      </w:r>
      <w:r>
        <w:rPr>
          <w:noProof/>
        </w:rPr>
        <w:fldChar w:fldCharType="end"/>
      </w:r>
    </w:p>
    <w:p w14:paraId="5CFF7B25"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_tradnl"/>
        </w:rPr>
        <w:t>3. El Código Penal criminaliza la expresión de la orientación sexual de hombres gay y bisexuales (Artículos 2, 3, 6 y 12)</w:t>
      </w:r>
      <w:r>
        <w:rPr>
          <w:noProof/>
        </w:rPr>
        <w:tab/>
      </w:r>
      <w:r>
        <w:rPr>
          <w:noProof/>
        </w:rPr>
        <w:fldChar w:fldCharType="begin"/>
      </w:r>
      <w:r>
        <w:rPr>
          <w:noProof/>
        </w:rPr>
        <w:instrText xml:space="preserve"> PAGEREF _Toc298099162 \h </w:instrText>
      </w:r>
      <w:r>
        <w:rPr>
          <w:noProof/>
        </w:rPr>
      </w:r>
      <w:r>
        <w:rPr>
          <w:noProof/>
        </w:rPr>
        <w:fldChar w:fldCharType="separate"/>
      </w:r>
      <w:r>
        <w:rPr>
          <w:noProof/>
        </w:rPr>
        <w:t>8</w:t>
      </w:r>
      <w:r>
        <w:rPr>
          <w:noProof/>
        </w:rPr>
        <w:fldChar w:fldCharType="end"/>
      </w:r>
    </w:p>
    <w:p w14:paraId="502412EE"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_tradnl"/>
        </w:rPr>
        <w:t>4. Falta de protección a los niños, niñas y adolescentes LGBT (Artículos 2, 3, 6 y 12)</w:t>
      </w:r>
      <w:r>
        <w:rPr>
          <w:noProof/>
        </w:rPr>
        <w:tab/>
      </w:r>
      <w:r>
        <w:rPr>
          <w:noProof/>
        </w:rPr>
        <w:fldChar w:fldCharType="begin"/>
      </w:r>
      <w:r>
        <w:rPr>
          <w:noProof/>
        </w:rPr>
        <w:instrText xml:space="preserve"> PAGEREF _Toc298099163 \h </w:instrText>
      </w:r>
      <w:r>
        <w:rPr>
          <w:noProof/>
        </w:rPr>
      </w:r>
      <w:r>
        <w:rPr>
          <w:noProof/>
        </w:rPr>
        <w:fldChar w:fldCharType="separate"/>
      </w:r>
      <w:r>
        <w:rPr>
          <w:noProof/>
        </w:rPr>
        <w:t>9</w:t>
      </w:r>
      <w:r>
        <w:rPr>
          <w:noProof/>
        </w:rPr>
        <w:fldChar w:fldCharType="end"/>
      </w:r>
    </w:p>
    <w:p w14:paraId="12F72229" w14:textId="77777777" w:rsidR="007D647B" w:rsidRDefault="007D647B">
      <w:pPr>
        <w:pStyle w:val="TDC1"/>
        <w:rPr>
          <w:rFonts w:asciiTheme="minorHAnsi" w:eastAsiaTheme="minorEastAsia" w:hAnsiTheme="minorHAnsi" w:cstheme="minorBidi"/>
          <w:b w:val="0"/>
          <w:caps w:val="0"/>
          <w:noProof/>
          <w:sz w:val="24"/>
          <w:szCs w:val="24"/>
          <w:lang w:eastAsia="ja-JP"/>
        </w:rPr>
      </w:pPr>
      <w:r w:rsidRPr="00314500">
        <w:rPr>
          <w:noProof/>
          <w:color w:val="000000" w:themeColor="text1"/>
          <w:lang w:val="es-ES_tradnl"/>
        </w:rPr>
        <w:t>Recomendaciones</w:t>
      </w:r>
      <w:r>
        <w:rPr>
          <w:noProof/>
        </w:rPr>
        <w:tab/>
      </w:r>
      <w:r>
        <w:rPr>
          <w:noProof/>
        </w:rPr>
        <w:fldChar w:fldCharType="begin"/>
      </w:r>
      <w:r>
        <w:rPr>
          <w:noProof/>
        </w:rPr>
        <w:instrText xml:space="preserve"> PAGEREF _Toc298099164 \h </w:instrText>
      </w:r>
      <w:r>
        <w:rPr>
          <w:noProof/>
        </w:rPr>
      </w:r>
      <w:r>
        <w:rPr>
          <w:noProof/>
        </w:rPr>
        <w:fldChar w:fldCharType="separate"/>
      </w:r>
      <w:r>
        <w:rPr>
          <w:noProof/>
        </w:rPr>
        <w:t>10</w:t>
      </w:r>
      <w:r>
        <w:rPr>
          <w:noProof/>
        </w:rPr>
        <w:fldChar w:fldCharType="end"/>
      </w:r>
    </w:p>
    <w:p w14:paraId="2DE62F60" w14:textId="77777777" w:rsidR="007D647B" w:rsidRDefault="007D647B">
      <w:pPr>
        <w:pStyle w:val="TDC1"/>
        <w:rPr>
          <w:rFonts w:asciiTheme="minorHAnsi" w:eastAsiaTheme="minorEastAsia" w:hAnsiTheme="minorHAnsi" w:cstheme="minorBidi"/>
          <w:b w:val="0"/>
          <w:caps w:val="0"/>
          <w:noProof/>
          <w:sz w:val="24"/>
          <w:szCs w:val="24"/>
          <w:lang w:eastAsia="ja-JP"/>
        </w:rPr>
      </w:pPr>
      <w:r w:rsidRPr="00314500">
        <w:rPr>
          <w:noProof/>
          <w:color w:val="000000" w:themeColor="text1"/>
        </w:rPr>
        <w:t>II. Derechos y libertades civiles (arts. 7, 8 y 13-17)</w:t>
      </w:r>
      <w:r>
        <w:rPr>
          <w:noProof/>
        </w:rPr>
        <w:tab/>
      </w:r>
      <w:r>
        <w:rPr>
          <w:noProof/>
        </w:rPr>
        <w:fldChar w:fldCharType="begin"/>
      </w:r>
      <w:r>
        <w:rPr>
          <w:noProof/>
        </w:rPr>
        <w:instrText xml:space="preserve"> PAGEREF _Toc298099165 \h </w:instrText>
      </w:r>
      <w:r>
        <w:rPr>
          <w:noProof/>
        </w:rPr>
      </w:r>
      <w:r>
        <w:rPr>
          <w:noProof/>
        </w:rPr>
        <w:fldChar w:fldCharType="separate"/>
      </w:r>
      <w:r>
        <w:rPr>
          <w:noProof/>
        </w:rPr>
        <w:t>11</w:t>
      </w:r>
      <w:r>
        <w:rPr>
          <w:noProof/>
        </w:rPr>
        <w:fldChar w:fldCharType="end"/>
      </w:r>
    </w:p>
    <w:p w14:paraId="72B43D5B"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_tradnl"/>
        </w:rPr>
        <w:t>1. El derecho a preservar la identidad de género</w:t>
      </w:r>
      <w:r>
        <w:rPr>
          <w:noProof/>
        </w:rPr>
        <w:tab/>
      </w:r>
      <w:r>
        <w:rPr>
          <w:noProof/>
        </w:rPr>
        <w:fldChar w:fldCharType="begin"/>
      </w:r>
      <w:r>
        <w:rPr>
          <w:noProof/>
        </w:rPr>
        <w:instrText xml:space="preserve"> PAGEREF _Toc298099166 \h </w:instrText>
      </w:r>
      <w:r>
        <w:rPr>
          <w:noProof/>
        </w:rPr>
      </w:r>
      <w:r>
        <w:rPr>
          <w:noProof/>
        </w:rPr>
        <w:fldChar w:fldCharType="separate"/>
      </w:r>
      <w:r>
        <w:rPr>
          <w:noProof/>
        </w:rPr>
        <w:t>11</w:t>
      </w:r>
      <w:r>
        <w:rPr>
          <w:noProof/>
        </w:rPr>
        <w:fldChar w:fldCharType="end"/>
      </w:r>
    </w:p>
    <w:p w14:paraId="07A2B0D7" w14:textId="77777777" w:rsidR="007D647B" w:rsidRDefault="007D647B">
      <w:pPr>
        <w:pStyle w:val="TDC1"/>
        <w:rPr>
          <w:rFonts w:asciiTheme="minorHAnsi" w:eastAsiaTheme="minorEastAsia" w:hAnsiTheme="minorHAnsi" w:cstheme="minorBidi"/>
          <w:b w:val="0"/>
          <w:caps w:val="0"/>
          <w:noProof/>
          <w:sz w:val="24"/>
          <w:szCs w:val="24"/>
          <w:lang w:eastAsia="ja-JP"/>
        </w:rPr>
      </w:pPr>
      <w:r w:rsidRPr="00314500">
        <w:rPr>
          <w:noProof/>
          <w:color w:val="000000" w:themeColor="text1"/>
          <w:lang w:val="es-ES_tradnl"/>
        </w:rPr>
        <w:t>III. Educación (artículo 28 par 2 y artículo 29)</w:t>
      </w:r>
      <w:r>
        <w:rPr>
          <w:noProof/>
        </w:rPr>
        <w:tab/>
      </w:r>
      <w:r>
        <w:rPr>
          <w:noProof/>
        </w:rPr>
        <w:fldChar w:fldCharType="begin"/>
      </w:r>
      <w:r>
        <w:rPr>
          <w:noProof/>
        </w:rPr>
        <w:instrText xml:space="preserve"> PAGEREF _Toc298099167 \h </w:instrText>
      </w:r>
      <w:r>
        <w:rPr>
          <w:noProof/>
        </w:rPr>
      </w:r>
      <w:r>
        <w:rPr>
          <w:noProof/>
        </w:rPr>
        <w:fldChar w:fldCharType="separate"/>
      </w:r>
      <w:r>
        <w:rPr>
          <w:noProof/>
        </w:rPr>
        <w:t>13</w:t>
      </w:r>
      <w:r>
        <w:rPr>
          <w:noProof/>
        </w:rPr>
        <w:fldChar w:fldCharType="end"/>
      </w:r>
    </w:p>
    <w:p w14:paraId="0766E76C"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_tradnl"/>
        </w:rPr>
        <w:t>1. Los niños, niñas y adolescentes transgénero son constantemente privados del derecho a la educación.</w:t>
      </w:r>
      <w:r>
        <w:rPr>
          <w:noProof/>
        </w:rPr>
        <w:tab/>
      </w:r>
      <w:r>
        <w:rPr>
          <w:noProof/>
        </w:rPr>
        <w:fldChar w:fldCharType="begin"/>
      </w:r>
      <w:r>
        <w:rPr>
          <w:noProof/>
        </w:rPr>
        <w:instrText xml:space="preserve"> PAGEREF _Toc298099168 \h </w:instrText>
      </w:r>
      <w:r>
        <w:rPr>
          <w:noProof/>
        </w:rPr>
      </w:r>
      <w:r>
        <w:rPr>
          <w:noProof/>
        </w:rPr>
        <w:fldChar w:fldCharType="separate"/>
      </w:r>
      <w:r>
        <w:rPr>
          <w:noProof/>
        </w:rPr>
        <w:t>13</w:t>
      </w:r>
      <w:r>
        <w:rPr>
          <w:noProof/>
        </w:rPr>
        <w:fldChar w:fldCharType="end"/>
      </w:r>
    </w:p>
    <w:p w14:paraId="11C8E05F" w14:textId="77777777" w:rsidR="007D647B" w:rsidRDefault="007D647B">
      <w:pPr>
        <w:pStyle w:val="TDC1"/>
        <w:rPr>
          <w:rFonts w:asciiTheme="minorHAnsi" w:eastAsiaTheme="minorEastAsia" w:hAnsiTheme="minorHAnsi" w:cstheme="minorBidi"/>
          <w:b w:val="0"/>
          <w:caps w:val="0"/>
          <w:noProof/>
          <w:sz w:val="24"/>
          <w:szCs w:val="24"/>
          <w:lang w:eastAsia="ja-JP"/>
        </w:rPr>
      </w:pPr>
      <w:r w:rsidRPr="00314500">
        <w:rPr>
          <w:noProof/>
          <w:color w:val="000000" w:themeColor="text1"/>
          <w:lang w:val="es-ES_tradnl"/>
        </w:rPr>
        <w:t>IV. Entorno familiar y modalidades alternativas de cuidado (arts. 5, 18 y 21)</w:t>
      </w:r>
      <w:r>
        <w:rPr>
          <w:noProof/>
        </w:rPr>
        <w:tab/>
      </w:r>
      <w:r>
        <w:rPr>
          <w:noProof/>
        </w:rPr>
        <w:fldChar w:fldCharType="begin"/>
      </w:r>
      <w:r>
        <w:rPr>
          <w:noProof/>
        </w:rPr>
        <w:instrText xml:space="preserve"> PAGEREF _Toc298099169 \h </w:instrText>
      </w:r>
      <w:r>
        <w:rPr>
          <w:noProof/>
        </w:rPr>
      </w:r>
      <w:r>
        <w:rPr>
          <w:noProof/>
        </w:rPr>
        <w:fldChar w:fldCharType="separate"/>
      </w:r>
      <w:r>
        <w:rPr>
          <w:noProof/>
        </w:rPr>
        <w:t>14</w:t>
      </w:r>
      <w:r>
        <w:rPr>
          <w:noProof/>
        </w:rPr>
        <w:fldChar w:fldCharType="end"/>
      </w:r>
    </w:p>
    <w:p w14:paraId="62545096" w14:textId="77777777" w:rsidR="007D647B" w:rsidRDefault="007D647B">
      <w:pPr>
        <w:pStyle w:val="TDC2"/>
        <w:tabs>
          <w:tab w:val="right" w:leader="dot" w:pos="8828"/>
        </w:tabs>
        <w:rPr>
          <w:smallCaps w:val="0"/>
          <w:noProof/>
          <w:sz w:val="24"/>
          <w:szCs w:val="24"/>
          <w:lang w:eastAsia="ja-JP"/>
        </w:rPr>
      </w:pPr>
      <w:r w:rsidRPr="00314500">
        <w:rPr>
          <w:rFonts w:ascii="Times New Roman" w:hAnsi="Times New Roman" w:cs="Times New Roman"/>
          <w:noProof/>
          <w:color w:val="000000" w:themeColor="text1"/>
          <w:lang w:val="es-ES_tradnl"/>
        </w:rPr>
        <w:t>1. La adopción en relación con las uniones civiles de parejas del mismo sexo.</w:t>
      </w:r>
      <w:r>
        <w:rPr>
          <w:noProof/>
        </w:rPr>
        <w:tab/>
      </w:r>
      <w:r>
        <w:rPr>
          <w:noProof/>
        </w:rPr>
        <w:fldChar w:fldCharType="begin"/>
      </w:r>
      <w:r>
        <w:rPr>
          <w:noProof/>
        </w:rPr>
        <w:instrText xml:space="preserve"> PAGEREF _Toc298099170 \h </w:instrText>
      </w:r>
      <w:r>
        <w:rPr>
          <w:noProof/>
        </w:rPr>
      </w:r>
      <w:r>
        <w:rPr>
          <w:noProof/>
        </w:rPr>
        <w:fldChar w:fldCharType="separate"/>
      </w:r>
      <w:r>
        <w:rPr>
          <w:noProof/>
        </w:rPr>
        <w:t>14</w:t>
      </w:r>
      <w:r>
        <w:rPr>
          <w:noProof/>
        </w:rPr>
        <w:fldChar w:fldCharType="end"/>
      </w:r>
    </w:p>
    <w:p w14:paraId="57A46D8C" w14:textId="77777777" w:rsidR="007D647B" w:rsidRDefault="007D647B">
      <w:pPr>
        <w:pStyle w:val="TDC1"/>
        <w:rPr>
          <w:rFonts w:asciiTheme="minorHAnsi" w:eastAsiaTheme="minorEastAsia" w:hAnsiTheme="minorHAnsi" w:cstheme="minorBidi"/>
          <w:b w:val="0"/>
          <w:caps w:val="0"/>
          <w:noProof/>
          <w:sz w:val="24"/>
          <w:szCs w:val="24"/>
          <w:lang w:eastAsia="ja-JP"/>
        </w:rPr>
      </w:pPr>
      <w:r w:rsidRPr="00314500">
        <w:rPr>
          <w:noProof/>
          <w:color w:val="000000" w:themeColor="text1"/>
          <w:lang w:val="es-ES_tradnl"/>
        </w:rPr>
        <w:t>Recomendaciones:</w:t>
      </w:r>
      <w:r>
        <w:rPr>
          <w:noProof/>
        </w:rPr>
        <w:tab/>
      </w:r>
      <w:r>
        <w:rPr>
          <w:noProof/>
        </w:rPr>
        <w:fldChar w:fldCharType="begin"/>
      </w:r>
      <w:r>
        <w:rPr>
          <w:noProof/>
        </w:rPr>
        <w:instrText xml:space="preserve"> PAGEREF _Toc298099171 \h </w:instrText>
      </w:r>
      <w:r>
        <w:rPr>
          <w:noProof/>
        </w:rPr>
      </w:r>
      <w:r>
        <w:rPr>
          <w:noProof/>
        </w:rPr>
        <w:fldChar w:fldCharType="separate"/>
      </w:r>
      <w:r>
        <w:rPr>
          <w:noProof/>
        </w:rPr>
        <w:t>15</w:t>
      </w:r>
      <w:r>
        <w:rPr>
          <w:noProof/>
        </w:rPr>
        <w:fldChar w:fldCharType="end"/>
      </w:r>
    </w:p>
    <w:p w14:paraId="337A767F" w14:textId="77777777" w:rsidR="004915F7" w:rsidRPr="0052028E" w:rsidRDefault="004915F7" w:rsidP="001A7DEF">
      <w:pPr>
        <w:rPr>
          <w:rFonts w:ascii="Times New Roman" w:eastAsia="Times New Roman" w:hAnsi="Times New Roman" w:cs="Times New Roman"/>
          <w:b/>
        </w:rPr>
      </w:pPr>
      <w:r w:rsidRPr="0052028E">
        <w:rPr>
          <w:rFonts w:ascii="Times New Roman" w:eastAsia="Times New Roman" w:hAnsi="Times New Roman" w:cs="Times New Roman"/>
          <w:b/>
        </w:rPr>
        <w:fldChar w:fldCharType="end"/>
      </w:r>
    </w:p>
    <w:p w14:paraId="41C52927" w14:textId="77777777" w:rsidR="004915F7" w:rsidRPr="0052028E" w:rsidRDefault="004915F7" w:rsidP="001A7DEF">
      <w:pPr>
        <w:rPr>
          <w:rFonts w:ascii="Times New Roman" w:eastAsia="Times New Roman" w:hAnsi="Times New Roman" w:cs="Times New Roman"/>
          <w:b/>
        </w:rPr>
      </w:pPr>
    </w:p>
    <w:p w14:paraId="43C8822D" w14:textId="77777777" w:rsidR="004915F7" w:rsidRPr="0052028E" w:rsidRDefault="004915F7" w:rsidP="001A7DEF">
      <w:pPr>
        <w:rPr>
          <w:rFonts w:ascii="Times New Roman" w:eastAsia="Times New Roman" w:hAnsi="Times New Roman" w:cs="Times New Roman"/>
          <w:b/>
        </w:rPr>
      </w:pPr>
    </w:p>
    <w:p w14:paraId="7E36DD59" w14:textId="77777777" w:rsidR="004915F7" w:rsidRPr="0052028E" w:rsidRDefault="004915F7" w:rsidP="001A7DEF">
      <w:pPr>
        <w:rPr>
          <w:rFonts w:ascii="Times New Roman" w:eastAsia="Times New Roman" w:hAnsi="Times New Roman" w:cs="Times New Roman"/>
          <w:b/>
        </w:rPr>
      </w:pPr>
    </w:p>
    <w:p w14:paraId="19D699D8" w14:textId="77777777" w:rsidR="004915F7" w:rsidRDefault="004915F7" w:rsidP="001A7DEF">
      <w:pPr>
        <w:rPr>
          <w:rFonts w:ascii="Times New Roman" w:eastAsia="Times New Roman" w:hAnsi="Times New Roman" w:cs="Times New Roman"/>
          <w:b/>
        </w:rPr>
      </w:pPr>
    </w:p>
    <w:p w14:paraId="0714CDC5" w14:textId="77777777" w:rsidR="006C60C7" w:rsidRDefault="006C60C7" w:rsidP="001A7DEF">
      <w:pPr>
        <w:rPr>
          <w:rFonts w:ascii="Times New Roman" w:eastAsia="Times New Roman" w:hAnsi="Times New Roman" w:cs="Times New Roman"/>
          <w:b/>
        </w:rPr>
      </w:pPr>
    </w:p>
    <w:p w14:paraId="4426B6C3" w14:textId="77777777" w:rsidR="006C60C7" w:rsidRDefault="006C60C7" w:rsidP="001A7DEF">
      <w:pPr>
        <w:rPr>
          <w:rFonts w:ascii="Times New Roman" w:eastAsia="Times New Roman" w:hAnsi="Times New Roman" w:cs="Times New Roman"/>
          <w:b/>
        </w:rPr>
      </w:pPr>
    </w:p>
    <w:p w14:paraId="1C3E3986" w14:textId="77777777" w:rsidR="006C60C7" w:rsidRPr="0052028E" w:rsidRDefault="006C60C7" w:rsidP="001A7DEF">
      <w:pPr>
        <w:rPr>
          <w:rFonts w:ascii="Times New Roman" w:eastAsia="Times New Roman" w:hAnsi="Times New Roman" w:cs="Times New Roman"/>
          <w:b/>
        </w:rPr>
      </w:pPr>
    </w:p>
    <w:p w14:paraId="58D8A658" w14:textId="77777777" w:rsidR="004915F7" w:rsidRPr="0052028E" w:rsidRDefault="004915F7" w:rsidP="001A7DEF">
      <w:pPr>
        <w:rPr>
          <w:rFonts w:ascii="Times New Roman" w:eastAsia="Times New Roman" w:hAnsi="Times New Roman" w:cs="Times New Roman"/>
          <w:b/>
        </w:rPr>
      </w:pPr>
    </w:p>
    <w:p w14:paraId="0A7264A0" w14:textId="77777777" w:rsidR="004915F7" w:rsidRPr="0052028E" w:rsidRDefault="004915F7" w:rsidP="001A7DEF">
      <w:pPr>
        <w:rPr>
          <w:rFonts w:ascii="Times New Roman" w:eastAsia="Times New Roman" w:hAnsi="Times New Roman" w:cs="Times New Roman"/>
          <w:b/>
        </w:rPr>
      </w:pPr>
    </w:p>
    <w:p w14:paraId="618AFBC1" w14:textId="77777777" w:rsidR="004915F7" w:rsidRPr="0052028E" w:rsidRDefault="004915F7" w:rsidP="001A7DEF">
      <w:pPr>
        <w:rPr>
          <w:rFonts w:ascii="Times New Roman" w:eastAsia="Times New Roman" w:hAnsi="Times New Roman" w:cs="Times New Roman"/>
          <w:b/>
        </w:rPr>
      </w:pPr>
    </w:p>
    <w:p w14:paraId="2BE90CB5" w14:textId="77777777" w:rsidR="004915F7" w:rsidRPr="0052028E" w:rsidRDefault="004915F7" w:rsidP="001A7DEF">
      <w:pPr>
        <w:rPr>
          <w:rFonts w:ascii="Times New Roman" w:eastAsia="Times New Roman" w:hAnsi="Times New Roman" w:cs="Times New Roman"/>
          <w:b/>
        </w:rPr>
      </w:pPr>
    </w:p>
    <w:p w14:paraId="26993D51" w14:textId="77777777" w:rsidR="004915F7" w:rsidRDefault="004915F7" w:rsidP="001A7DEF">
      <w:pPr>
        <w:rPr>
          <w:rFonts w:ascii="Times New Roman" w:eastAsia="Times New Roman" w:hAnsi="Times New Roman" w:cs="Times New Roman"/>
          <w:b/>
        </w:rPr>
      </w:pPr>
    </w:p>
    <w:p w14:paraId="29211695" w14:textId="77777777" w:rsidR="007D647B" w:rsidRDefault="007D647B" w:rsidP="001A7DEF">
      <w:pPr>
        <w:rPr>
          <w:rFonts w:ascii="Times New Roman" w:eastAsia="Times New Roman" w:hAnsi="Times New Roman" w:cs="Times New Roman"/>
          <w:b/>
        </w:rPr>
      </w:pPr>
    </w:p>
    <w:p w14:paraId="756C115E" w14:textId="77777777" w:rsidR="007D647B" w:rsidRPr="0052028E" w:rsidRDefault="007D647B" w:rsidP="001A7DEF">
      <w:pPr>
        <w:rPr>
          <w:rFonts w:ascii="Times New Roman" w:eastAsia="Times New Roman" w:hAnsi="Times New Roman" w:cs="Times New Roman"/>
          <w:b/>
        </w:rPr>
      </w:pPr>
    </w:p>
    <w:p w14:paraId="5FD223CA" w14:textId="77777777" w:rsidR="004915F7" w:rsidRPr="0052028E" w:rsidRDefault="004915F7" w:rsidP="001A7DEF">
      <w:pPr>
        <w:rPr>
          <w:rFonts w:ascii="Times New Roman" w:eastAsia="Times New Roman" w:hAnsi="Times New Roman" w:cs="Times New Roman"/>
          <w:b/>
        </w:rPr>
      </w:pPr>
    </w:p>
    <w:p w14:paraId="018554B6" w14:textId="77777777" w:rsidR="001A7DEF" w:rsidRPr="007D647B" w:rsidRDefault="001A7DEF" w:rsidP="004915F7">
      <w:pPr>
        <w:pStyle w:val="Ttulo1"/>
        <w:rPr>
          <w:rFonts w:ascii="Times New Roman" w:hAnsi="Times New Roman" w:cs="Times New Roman"/>
          <w:color w:val="000000" w:themeColor="text1"/>
          <w:sz w:val="28"/>
          <w:szCs w:val="28"/>
        </w:rPr>
      </w:pPr>
      <w:bookmarkStart w:id="0" w:name="_Toc298099158"/>
      <w:r w:rsidRPr="007D647B">
        <w:rPr>
          <w:rFonts w:ascii="Times New Roman" w:hAnsi="Times New Roman" w:cs="Times New Roman"/>
          <w:color w:val="000000" w:themeColor="text1"/>
          <w:sz w:val="28"/>
          <w:szCs w:val="28"/>
        </w:rPr>
        <w:t>INTRODUCCIÓN</w:t>
      </w:r>
      <w:bookmarkEnd w:id="0"/>
    </w:p>
    <w:p w14:paraId="730F7439" w14:textId="77777777" w:rsidR="001A7DEF" w:rsidRPr="0052028E" w:rsidRDefault="001A7DEF" w:rsidP="001A7DEF">
      <w:pPr>
        <w:rPr>
          <w:rFonts w:ascii="Times New Roman" w:eastAsia="Times New Roman" w:hAnsi="Times New Roman" w:cs="Times New Roman"/>
          <w:b/>
        </w:rPr>
      </w:pPr>
    </w:p>
    <w:p w14:paraId="384076AF" w14:textId="5FED3EB1" w:rsidR="00297BE3" w:rsidRPr="0052028E" w:rsidRDefault="00A124C5" w:rsidP="002F243C">
      <w:pPr>
        <w:widowControl w:val="0"/>
        <w:autoSpaceDE w:val="0"/>
        <w:autoSpaceDN w:val="0"/>
        <w:adjustRightInd w:val="0"/>
        <w:spacing w:after="240"/>
        <w:jc w:val="both"/>
        <w:rPr>
          <w:rFonts w:ascii="Times New Roman" w:hAnsi="Times New Roman" w:cs="Times New Roman"/>
          <w:lang w:val="es-ES_tradnl"/>
        </w:rPr>
      </w:pPr>
      <w:r w:rsidRPr="0052028E">
        <w:rPr>
          <w:rFonts w:ascii="Times New Roman" w:hAnsi="Times New Roman" w:cs="Times New Roman"/>
          <w:lang w:val="es-ES_tradnl"/>
        </w:rPr>
        <w:t xml:space="preserve">El presente informe </w:t>
      </w:r>
      <w:r w:rsidR="00063495" w:rsidRPr="0052028E">
        <w:rPr>
          <w:rFonts w:ascii="Times New Roman" w:hAnsi="Times New Roman" w:cs="Times New Roman"/>
          <w:lang w:val="es-ES_tradnl"/>
        </w:rPr>
        <w:t xml:space="preserve">tiene como objetivo proveer algunos insumos al </w:t>
      </w:r>
      <w:r w:rsidR="00297BE3" w:rsidRPr="0052028E">
        <w:rPr>
          <w:rFonts w:ascii="Times New Roman" w:hAnsi="Times New Roman" w:cs="Times New Roman"/>
          <w:lang w:val="es-ES_tradnl"/>
        </w:rPr>
        <w:t xml:space="preserve">Comité de los Derechos del Niño </w:t>
      </w:r>
      <w:r w:rsidR="00063495" w:rsidRPr="0052028E">
        <w:rPr>
          <w:rFonts w:ascii="Times New Roman" w:hAnsi="Times New Roman" w:cs="Times New Roman"/>
          <w:lang w:val="es-ES_tradnl"/>
        </w:rPr>
        <w:t xml:space="preserve">para su consideración </w:t>
      </w:r>
      <w:r w:rsidR="00593D50" w:rsidRPr="0052028E">
        <w:rPr>
          <w:rFonts w:ascii="Times New Roman" w:hAnsi="Times New Roman" w:cs="Times New Roman"/>
          <w:lang w:val="es-ES_tradnl"/>
        </w:rPr>
        <w:t>sobre los informes periódicos cuarto y quinto del Estado de Chile</w:t>
      </w:r>
      <w:r w:rsidR="00063495" w:rsidRPr="0052028E">
        <w:rPr>
          <w:rFonts w:ascii="Times New Roman" w:hAnsi="Times New Roman" w:cs="Times New Roman"/>
          <w:lang w:val="es-ES_tradnl"/>
        </w:rPr>
        <w:t>. El documento se enfoca en la situación de los niños, niñas y adolescentes LGBTI en relación a la Convenc</w:t>
      </w:r>
      <w:r w:rsidR="00B61ADD" w:rsidRPr="0052028E">
        <w:rPr>
          <w:rFonts w:ascii="Times New Roman" w:hAnsi="Times New Roman" w:cs="Times New Roman"/>
          <w:lang w:val="es-ES_tradnl"/>
        </w:rPr>
        <w:t xml:space="preserve">ión Sobre los Derechos del Niño, ratificada por Chile en 1990. </w:t>
      </w:r>
    </w:p>
    <w:p w14:paraId="5318A96C" w14:textId="3356D535" w:rsidR="00300833" w:rsidRPr="0052028E" w:rsidRDefault="00C9177A" w:rsidP="00232EF6">
      <w:pPr>
        <w:widowControl w:val="0"/>
        <w:autoSpaceDE w:val="0"/>
        <w:autoSpaceDN w:val="0"/>
        <w:adjustRightInd w:val="0"/>
        <w:spacing w:after="240"/>
        <w:jc w:val="both"/>
        <w:rPr>
          <w:rFonts w:ascii="Times New Roman" w:hAnsi="Times New Roman" w:cs="Times New Roman"/>
          <w:lang w:val="es-ES_tradnl"/>
        </w:rPr>
      </w:pPr>
      <w:r w:rsidRPr="0052028E">
        <w:rPr>
          <w:rFonts w:ascii="Times New Roman" w:hAnsi="Times New Roman" w:cs="Times New Roman"/>
          <w:lang w:val="es-ES_tradnl"/>
        </w:rPr>
        <w:t>La primera parte del informe, cubre el estado actual de</w:t>
      </w:r>
      <w:r w:rsidR="00694FEE" w:rsidRPr="0052028E">
        <w:rPr>
          <w:rFonts w:ascii="Times New Roman" w:hAnsi="Times New Roman" w:cs="Times New Roman"/>
          <w:lang w:val="es-ES_tradnl"/>
        </w:rPr>
        <w:t xml:space="preserve"> la implementación </w:t>
      </w:r>
      <w:r w:rsidR="00BF0E2D" w:rsidRPr="0052028E">
        <w:rPr>
          <w:rFonts w:ascii="Times New Roman" w:hAnsi="Times New Roman" w:cs="Times New Roman"/>
          <w:lang w:val="es-ES_tradnl"/>
        </w:rPr>
        <w:t>de</w:t>
      </w:r>
      <w:r w:rsidR="00297BE3" w:rsidRPr="0052028E">
        <w:rPr>
          <w:rFonts w:ascii="Times New Roman" w:hAnsi="Times New Roman" w:cs="Times New Roman"/>
          <w:lang w:val="es-ES_tradnl"/>
        </w:rPr>
        <w:t xml:space="preserve"> la sentencia</w:t>
      </w:r>
      <w:r w:rsidR="00BF0E2D" w:rsidRPr="0052028E">
        <w:rPr>
          <w:rFonts w:ascii="Times New Roman" w:hAnsi="Times New Roman" w:cs="Times New Roman"/>
          <w:lang w:val="es-ES_tradnl"/>
        </w:rPr>
        <w:t xml:space="preserve"> </w:t>
      </w:r>
      <w:r w:rsidR="00903550" w:rsidRPr="0052028E">
        <w:rPr>
          <w:rFonts w:ascii="Times New Roman" w:hAnsi="Times New Roman" w:cs="Times New Roman"/>
          <w:lang w:val="es-ES_tradnl"/>
        </w:rPr>
        <w:t>que la</w:t>
      </w:r>
      <w:r w:rsidR="00BF0E2D" w:rsidRPr="0052028E">
        <w:rPr>
          <w:rFonts w:ascii="Times New Roman" w:hAnsi="Times New Roman" w:cs="Times New Roman"/>
          <w:lang w:val="es-ES_tradnl"/>
        </w:rPr>
        <w:t xml:space="preserve"> Corte Interamericana de Derechos Humanos </w:t>
      </w:r>
      <w:r w:rsidR="00903550" w:rsidRPr="0052028E">
        <w:rPr>
          <w:rFonts w:ascii="Times New Roman" w:hAnsi="Times New Roman" w:cs="Times New Roman"/>
          <w:lang w:val="es-ES_tradnl"/>
        </w:rPr>
        <w:t>(CoIDH) emitió</w:t>
      </w:r>
      <w:r w:rsidR="00BF0E2D" w:rsidRPr="0052028E">
        <w:rPr>
          <w:rFonts w:ascii="Times New Roman" w:hAnsi="Times New Roman" w:cs="Times New Roman"/>
          <w:lang w:val="es-ES_tradnl"/>
        </w:rPr>
        <w:t xml:space="preserve"> el 24 de Febrero de 2012 frente al caso de </w:t>
      </w:r>
      <w:r w:rsidR="00BF0E2D" w:rsidRPr="0052028E">
        <w:rPr>
          <w:rFonts w:ascii="Times New Roman" w:hAnsi="Times New Roman" w:cs="Times New Roman"/>
          <w:i/>
          <w:lang w:val="es-ES_tradnl"/>
        </w:rPr>
        <w:t>Atala-Riffo y Niñas v</w:t>
      </w:r>
      <w:r w:rsidR="00297BE3" w:rsidRPr="0052028E">
        <w:rPr>
          <w:rFonts w:ascii="Times New Roman" w:hAnsi="Times New Roman" w:cs="Times New Roman"/>
          <w:i/>
          <w:lang w:val="es-ES_tradnl"/>
        </w:rPr>
        <w:t>s</w:t>
      </w:r>
      <w:r w:rsidR="00BF0E2D" w:rsidRPr="0052028E">
        <w:rPr>
          <w:rFonts w:ascii="Times New Roman" w:hAnsi="Times New Roman" w:cs="Times New Roman"/>
          <w:i/>
          <w:lang w:val="es-ES_tradnl"/>
        </w:rPr>
        <w:t>. Chile</w:t>
      </w:r>
      <w:r w:rsidR="00A124C5" w:rsidRPr="0052028E">
        <w:rPr>
          <w:rFonts w:ascii="Times New Roman" w:hAnsi="Times New Roman" w:cs="Times New Roman"/>
          <w:i/>
          <w:lang w:val="es-ES_tradnl"/>
        </w:rPr>
        <w:t>.</w:t>
      </w:r>
      <w:r w:rsidR="00A124C5" w:rsidRPr="0052028E">
        <w:rPr>
          <w:rFonts w:ascii="Times New Roman" w:hAnsi="Times New Roman" w:cs="Times New Roman"/>
          <w:lang w:val="es-ES_tradnl"/>
        </w:rPr>
        <w:t xml:space="preserve"> El </w:t>
      </w:r>
      <w:r w:rsidR="0020424D" w:rsidRPr="0052028E">
        <w:rPr>
          <w:rFonts w:ascii="Times New Roman" w:hAnsi="Times New Roman" w:cs="Times New Roman"/>
          <w:lang w:val="es-ES_tradnl"/>
        </w:rPr>
        <w:t>fallo</w:t>
      </w:r>
      <w:r w:rsidR="00A124C5" w:rsidRPr="0052028E">
        <w:rPr>
          <w:rFonts w:ascii="Times New Roman" w:hAnsi="Times New Roman" w:cs="Times New Roman"/>
          <w:lang w:val="es-ES_tradnl"/>
        </w:rPr>
        <w:t xml:space="preserve"> condenó al </w:t>
      </w:r>
      <w:r w:rsidR="00EA0C6F" w:rsidRPr="0052028E">
        <w:rPr>
          <w:rFonts w:ascii="Times New Roman" w:hAnsi="Times New Roman" w:cs="Times New Roman"/>
          <w:lang w:val="es-ES_tradnl"/>
        </w:rPr>
        <w:t>Estado</w:t>
      </w:r>
      <w:r w:rsidR="00A124C5" w:rsidRPr="0052028E">
        <w:rPr>
          <w:rFonts w:ascii="Times New Roman" w:hAnsi="Times New Roman" w:cs="Times New Roman"/>
          <w:lang w:val="es-ES_tradnl"/>
        </w:rPr>
        <w:t xml:space="preserve"> de Chile </w:t>
      </w:r>
      <w:r w:rsidR="00903550" w:rsidRPr="0052028E">
        <w:rPr>
          <w:rFonts w:ascii="Times New Roman" w:hAnsi="Times New Roman" w:cs="Times New Roman"/>
          <w:lang w:val="es-ES_tradnl"/>
        </w:rPr>
        <w:t>por</w:t>
      </w:r>
      <w:r w:rsidR="00BF0E2D" w:rsidRPr="0052028E">
        <w:rPr>
          <w:rFonts w:ascii="Times New Roman" w:hAnsi="Times New Roman" w:cs="Times New Roman"/>
          <w:lang w:val="es-ES_tradnl"/>
        </w:rPr>
        <w:t xml:space="preserve"> </w:t>
      </w:r>
      <w:r w:rsidR="00824CAF" w:rsidRPr="0052028E">
        <w:rPr>
          <w:rFonts w:ascii="Times New Roman" w:hAnsi="Times New Roman" w:cs="Times New Roman"/>
          <w:lang w:val="es-ES_tradnl"/>
        </w:rPr>
        <w:t xml:space="preserve">la decisión de la Corte Suprema, </w:t>
      </w:r>
      <w:r w:rsidR="00903550" w:rsidRPr="0052028E">
        <w:rPr>
          <w:rFonts w:ascii="Times New Roman" w:hAnsi="Times New Roman" w:cs="Times New Roman"/>
          <w:lang w:val="es-ES_tradnl"/>
        </w:rPr>
        <w:t xml:space="preserve">mediante la cual </w:t>
      </w:r>
      <w:r w:rsidR="00BF0E2D" w:rsidRPr="0052028E">
        <w:rPr>
          <w:rFonts w:ascii="Times New Roman" w:hAnsi="Times New Roman" w:cs="Times New Roman"/>
          <w:lang w:val="es-ES_tradnl"/>
        </w:rPr>
        <w:t>arrebat</w:t>
      </w:r>
      <w:r w:rsidR="00903550" w:rsidRPr="0052028E">
        <w:rPr>
          <w:rFonts w:ascii="Times New Roman" w:hAnsi="Times New Roman" w:cs="Times New Roman"/>
          <w:lang w:val="es-ES_tradnl"/>
        </w:rPr>
        <w:t>ó</w:t>
      </w:r>
      <w:r w:rsidR="00BF0E2D" w:rsidRPr="0052028E">
        <w:rPr>
          <w:rFonts w:ascii="Times New Roman" w:hAnsi="Times New Roman" w:cs="Times New Roman"/>
          <w:lang w:val="es-ES_tradnl"/>
        </w:rPr>
        <w:t xml:space="preserve"> </w:t>
      </w:r>
      <w:r w:rsidR="00EA0C6F" w:rsidRPr="0052028E">
        <w:rPr>
          <w:rFonts w:ascii="Times New Roman" w:hAnsi="Times New Roman" w:cs="Times New Roman"/>
          <w:lang w:val="es-ES_tradnl"/>
        </w:rPr>
        <w:t xml:space="preserve">el cuidado y </w:t>
      </w:r>
      <w:r w:rsidR="00BF0E2D" w:rsidRPr="0052028E">
        <w:rPr>
          <w:rFonts w:ascii="Times New Roman" w:hAnsi="Times New Roman" w:cs="Times New Roman"/>
          <w:lang w:val="es-ES_tradnl"/>
        </w:rPr>
        <w:t xml:space="preserve">la custodia de sus tres hijas </w:t>
      </w:r>
      <w:r w:rsidR="00903550" w:rsidRPr="0052028E">
        <w:rPr>
          <w:rFonts w:ascii="Times New Roman" w:hAnsi="Times New Roman" w:cs="Times New Roman"/>
          <w:lang w:val="es-ES_tradnl"/>
        </w:rPr>
        <w:t xml:space="preserve">a la jueza Karen Atala </w:t>
      </w:r>
      <w:r w:rsidR="00BF0E2D" w:rsidRPr="0052028E">
        <w:rPr>
          <w:rFonts w:ascii="Times New Roman" w:hAnsi="Times New Roman" w:cs="Times New Roman"/>
          <w:lang w:val="es-ES_tradnl"/>
        </w:rPr>
        <w:t xml:space="preserve">en razón de su orientación sexual. </w:t>
      </w:r>
      <w:r w:rsidRPr="0052028E">
        <w:rPr>
          <w:rFonts w:ascii="Times New Roman" w:eastAsia="Times New Roman" w:hAnsi="Times New Roman" w:cs="Times New Roman"/>
          <w:lang w:val="es-ES_tradnl"/>
        </w:rPr>
        <w:t>En su sentencia final, la Corte Interamericana de Derechos Humanos (CoIDH) estableció que la orientación sexual y la identidad de género son categorías protegidas por medio del artículo 1.1 de la Convención Americana</w:t>
      </w:r>
      <w:r w:rsidR="00232EF6" w:rsidRPr="0052028E">
        <w:rPr>
          <w:rFonts w:ascii="Times New Roman" w:eastAsia="Times New Roman" w:hAnsi="Times New Roman" w:cs="Times New Roman"/>
          <w:lang w:val="es-ES_tradnl"/>
        </w:rPr>
        <w:t>. En este sentido, toda discriminación basada en ellas constituye una violación del derecho internacional, sentando un extraordinario precedente en materia de los derechos de las personas LGBT.</w:t>
      </w:r>
      <w:r w:rsidR="00232EF6" w:rsidRPr="0052028E">
        <w:rPr>
          <w:rStyle w:val="Refdenotaalpie"/>
          <w:rFonts w:ascii="Times New Roman" w:eastAsia="Times New Roman" w:hAnsi="Times New Roman" w:cs="Times New Roman"/>
          <w:lang w:val="es-ES_tradnl"/>
        </w:rPr>
        <w:t xml:space="preserve"> </w:t>
      </w:r>
      <w:r w:rsidR="00232EF6" w:rsidRPr="0052028E">
        <w:rPr>
          <w:rStyle w:val="Refdenotaalpie"/>
          <w:rFonts w:ascii="Times New Roman" w:eastAsia="Times New Roman" w:hAnsi="Times New Roman" w:cs="Times New Roman"/>
          <w:lang w:val="es-ES_tradnl"/>
        </w:rPr>
        <w:footnoteReference w:id="1"/>
      </w:r>
    </w:p>
    <w:p w14:paraId="3C3FACB2" w14:textId="0C97E3CD" w:rsidR="002F5862" w:rsidRPr="0052028E" w:rsidRDefault="00824BFC" w:rsidP="00C62AEA">
      <w:pPr>
        <w:jc w:val="both"/>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A la fecha de este informe, el Estado ha cumplido con la</w:t>
      </w:r>
      <w:r w:rsidR="00335EE2" w:rsidRPr="0052028E">
        <w:rPr>
          <w:rFonts w:ascii="Times New Roman" w:eastAsia="Times New Roman" w:hAnsi="Times New Roman" w:cs="Times New Roman"/>
          <w:lang w:val="es-ES_tradnl"/>
        </w:rPr>
        <w:t xml:space="preserve">s siguientes medidas de reparación ordenadas por la Corte: </w:t>
      </w:r>
      <w:r w:rsidRPr="0052028E">
        <w:rPr>
          <w:rFonts w:ascii="Times New Roman" w:eastAsia="Times New Roman" w:hAnsi="Times New Roman" w:cs="Times New Roman"/>
          <w:lang w:val="es-ES_tradnl"/>
        </w:rPr>
        <w:t xml:space="preserve">la </w:t>
      </w:r>
      <w:r w:rsidR="00232EF6" w:rsidRPr="0052028E">
        <w:rPr>
          <w:rFonts w:ascii="Times New Roman" w:eastAsia="Times New Roman" w:hAnsi="Times New Roman" w:cs="Times New Roman"/>
          <w:lang w:val="es-ES_tradnl"/>
        </w:rPr>
        <w:t xml:space="preserve">provisión de </w:t>
      </w:r>
      <w:r w:rsidRPr="0052028E">
        <w:rPr>
          <w:rFonts w:ascii="Times New Roman" w:eastAsia="Times New Roman" w:hAnsi="Times New Roman" w:cs="Times New Roman"/>
          <w:lang w:val="es-ES_tradnl"/>
        </w:rPr>
        <w:t xml:space="preserve">atención médica y psicológica para la madre y </w:t>
      </w:r>
      <w:r w:rsidR="00232EF6" w:rsidRPr="0052028E">
        <w:rPr>
          <w:rFonts w:ascii="Times New Roman" w:eastAsia="Times New Roman" w:hAnsi="Times New Roman" w:cs="Times New Roman"/>
          <w:lang w:val="es-ES_tradnl"/>
        </w:rPr>
        <w:t xml:space="preserve">su hija mayor, </w:t>
      </w:r>
      <w:r w:rsidR="0084103B" w:rsidRPr="0052028E">
        <w:rPr>
          <w:rFonts w:ascii="Times New Roman" w:eastAsia="Times New Roman" w:hAnsi="Times New Roman" w:cs="Times New Roman"/>
          <w:lang w:val="es-ES_tradnl"/>
        </w:rPr>
        <w:t>M</w:t>
      </w:r>
      <w:r w:rsidR="00232EF6" w:rsidRPr="0052028E">
        <w:rPr>
          <w:rFonts w:ascii="Times New Roman" w:eastAsia="Times New Roman" w:hAnsi="Times New Roman" w:cs="Times New Roman"/>
          <w:lang w:val="es-ES_tradnl"/>
        </w:rPr>
        <w:t>.; la realización de un acto de reconocimiento público frente a su responsabilidad internacional; y, la compensación económica por los daños causados a la señora Atala y a su hija mayor, M. A su hija R se le proveerá esta compensación apenas cumpla 18 años de edad.</w:t>
      </w:r>
      <w:r w:rsidR="00232EF6" w:rsidRPr="0052028E">
        <w:rPr>
          <w:rStyle w:val="Refdenotaalpie"/>
          <w:rFonts w:ascii="Times New Roman" w:eastAsia="Times New Roman" w:hAnsi="Times New Roman" w:cs="Times New Roman"/>
          <w:lang w:val="es-ES_tradnl"/>
        </w:rPr>
        <w:footnoteReference w:id="2"/>
      </w:r>
      <w:r w:rsidR="00232EF6" w:rsidRPr="00B23757">
        <w:rPr>
          <w:rFonts w:ascii="Times New Roman" w:eastAsia="Times New Roman" w:hAnsi="Times New Roman" w:cs="Times New Roman"/>
          <w:lang w:val="es-ES_tradnl"/>
        </w:rPr>
        <w:t xml:space="preserve"> La implementación de programas de educación y capacitación permanente dirigida Funcionarios públicos a niveles nacional y regional, y especialmente a los funcionarios judiciales de todo nivel, no se ha cumplido aún, ni siquiera como política pública, </w:t>
      </w:r>
      <w:r w:rsidR="00B23757" w:rsidRPr="00B23757">
        <w:rPr>
          <w:rFonts w:ascii="Times New Roman" w:eastAsia="Times New Roman" w:hAnsi="Times New Roman" w:cs="Times New Roman"/>
          <w:lang w:val="es-ES_tradnl"/>
        </w:rPr>
        <w:t>por</w:t>
      </w:r>
      <w:r w:rsidR="00232EF6" w:rsidRPr="00B23757">
        <w:rPr>
          <w:rFonts w:ascii="Times New Roman" w:eastAsia="Times New Roman" w:hAnsi="Times New Roman" w:cs="Times New Roman"/>
          <w:lang w:val="es-ES_tradnl"/>
        </w:rPr>
        <w:t>que no existe un órgano al interior de la Administración del estado chileno que centralice y articule dichos</w:t>
      </w:r>
      <w:r w:rsidR="00B23757" w:rsidRPr="00B23757">
        <w:rPr>
          <w:rFonts w:ascii="Times New Roman" w:eastAsia="Times New Roman" w:hAnsi="Times New Roman" w:cs="Times New Roman"/>
          <w:lang w:val="es-ES_tradnl"/>
        </w:rPr>
        <w:t xml:space="preserve"> programas y cursos permanentes. </w:t>
      </w:r>
      <w:r w:rsidR="00232EF6" w:rsidRPr="00B23757">
        <w:rPr>
          <w:rFonts w:ascii="Times New Roman" w:eastAsia="Times New Roman" w:hAnsi="Times New Roman" w:cs="Times New Roman"/>
          <w:lang w:val="es-ES_tradnl"/>
        </w:rPr>
        <w:t xml:space="preserve">En el Poder Judicial chileno, tampoco se han elaborado dichos programas de capacitación, salvo cursos electivos y de corta duración </w:t>
      </w:r>
      <w:r w:rsidR="00232EF6" w:rsidRPr="00B23757">
        <w:rPr>
          <w:rStyle w:val="Refdenotaalpie"/>
          <w:rFonts w:ascii="Times New Roman" w:eastAsia="Times New Roman" w:hAnsi="Times New Roman" w:cs="Times New Roman"/>
          <w:lang w:val="es-ES_tradnl"/>
        </w:rPr>
        <w:footnoteReference w:id="3"/>
      </w:r>
    </w:p>
    <w:p w14:paraId="71D102CD" w14:textId="77777777" w:rsidR="002F5862" w:rsidRPr="0052028E" w:rsidRDefault="002F5862" w:rsidP="001A7DEF">
      <w:pPr>
        <w:rPr>
          <w:rFonts w:ascii="Times New Roman" w:eastAsia="Times New Roman" w:hAnsi="Times New Roman" w:cs="Times New Roman"/>
          <w:b/>
        </w:rPr>
      </w:pPr>
    </w:p>
    <w:p w14:paraId="21F17D7F" w14:textId="03A304E9" w:rsidR="00C62AEA" w:rsidRPr="0052028E" w:rsidRDefault="002955E4" w:rsidP="00B23757">
      <w:pPr>
        <w:widowControl w:val="0"/>
        <w:autoSpaceDE w:val="0"/>
        <w:autoSpaceDN w:val="0"/>
        <w:adjustRightInd w:val="0"/>
        <w:spacing w:after="240"/>
        <w:jc w:val="both"/>
        <w:rPr>
          <w:rFonts w:ascii="Times New Roman" w:hAnsi="Times New Roman" w:cs="Times New Roman"/>
          <w:lang w:val="es-ES_tradnl"/>
        </w:rPr>
      </w:pPr>
      <w:r w:rsidRPr="0052028E">
        <w:rPr>
          <w:rFonts w:ascii="Times New Roman" w:hAnsi="Times New Roman" w:cs="Times New Roman"/>
          <w:lang w:val="es-ES_tradnl"/>
        </w:rPr>
        <w:t xml:space="preserve">Desde su última revisión periódica por parte del Comité en el año 2007, el Estado Chileno ha mostrado progresos significativos en relación a la garantía del goce pleno de los derechos de niños, niñas y adolescentes </w:t>
      </w:r>
      <w:r w:rsidR="00C706F6" w:rsidRPr="0052028E">
        <w:rPr>
          <w:rFonts w:ascii="Times New Roman" w:hAnsi="Times New Roman" w:cs="Times New Roman"/>
          <w:lang w:val="es-ES_tradnl"/>
        </w:rPr>
        <w:t xml:space="preserve">LGBT </w:t>
      </w:r>
      <w:r w:rsidRPr="0052028E">
        <w:rPr>
          <w:rFonts w:ascii="Times New Roman" w:hAnsi="Times New Roman" w:cs="Times New Roman"/>
          <w:lang w:val="es-ES_tradnl"/>
        </w:rPr>
        <w:t xml:space="preserve">encumbrados en la Convención, sin discriminación alguna. </w:t>
      </w:r>
      <w:r w:rsidR="00FB455E" w:rsidRPr="0052028E">
        <w:rPr>
          <w:rFonts w:ascii="Times New Roman" w:hAnsi="Times New Roman" w:cs="Times New Roman"/>
          <w:lang w:val="es-ES_tradnl"/>
        </w:rPr>
        <w:t>En el año 2012</w:t>
      </w:r>
      <w:r w:rsidR="00824BFC" w:rsidRPr="0052028E">
        <w:rPr>
          <w:rFonts w:ascii="Times New Roman" w:hAnsi="Times New Roman" w:cs="Times New Roman"/>
          <w:lang w:val="es-ES_tradnl"/>
        </w:rPr>
        <w:t xml:space="preserve">, </w:t>
      </w:r>
      <w:r w:rsidR="00FB455E" w:rsidRPr="0052028E">
        <w:rPr>
          <w:rFonts w:ascii="Times New Roman" w:hAnsi="Times New Roman" w:cs="Times New Roman"/>
          <w:lang w:val="es-ES_tradnl"/>
        </w:rPr>
        <w:t>el Estado Chileno aprobó una ley para sancionar cu</w:t>
      </w:r>
      <w:r w:rsidR="00B05B00" w:rsidRPr="0052028E">
        <w:rPr>
          <w:rFonts w:ascii="Times New Roman" w:hAnsi="Times New Roman" w:cs="Times New Roman"/>
          <w:lang w:val="es-ES_tradnl"/>
        </w:rPr>
        <w:t>alquier acto discriminatorio. La</w:t>
      </w:r>
      <w:r w:rsidR="00FB455E" w:rsidRPr="0052028E">
        <w:rPr>
          <w:rFonts w:ascii="Times New Roman" w:hAnsi="Times New Roman" w:cs="Times New Roman"/>
          <w:lang w:val="es-ES_tradnl"/>
        </w:rPr>
        <w:t xml:space="preserve"> Ley Anti </w:t>
      </w:r>
      <w:r w:rsidR="000703D8" w:rsidRPr="0052028E">
        <w:rPr>
          <w:rFonts w:ascii="Times New Roman" w:hAnsi="Times New Roman" w:cs="Times New Roman"/>
          <w:lang w:val="es-ES_tradnl"/>
        </w:rPr>
        <w:t>Discriminación</w:t>
      </w:r>
      <w:r w:rsidR="00FB455E" w:rsidRPr="0052028E">
        <w:rPr>
          <w:rFonts w:ascii="Times New Roman" w:hAnsi="Times New Roman" w:cs="Times New Roman"/>
          <w:lang w:val="es-ES_tradnl"/>
        </w:rPr>
        <w:t xml:space="preserve"> (LAD) – popularmente conocida como Ley Zamudio, luego de que el joven Daniel Zamudio fuera brutalmente asesinado por un grupo de neonazis en razón de su orientación sexual—</w:t>
      </w:r>
      <w:r w:rsidR="00C62AEA" w:rsidRPr="0052028E">
        <w:rPr>
          <w:rFonts w:ascii="Times New Roman" w:hAnsi="Times New Roman" w:cs="Times New Roman"/>
          <w:lang w:val="es-ES_tradnl"/>
        </w:rPr>
        <w:t xml:space="preserve"> </w:t>
      </w:r>
      <w:r w:rsidR="00B05B00" w:rsidRPr="0052028E">
        <w:rPr>
          <w:rFonts w:ascii="Times New Roman" w:hAnsi="Times New Roman" w:cs="Times New Roman"/>
          <w:lang w:val="es-ES_tradnl"/>
        </w:rPr>
        <w:t xml:space="preserve">amplificó la urgente necesidad de brindar protección a las personas LGBT, tal como lo establece el Caso Atala-Riffo y Niñas v. Chile.  </w:t>
      </w:r>
      <w:r w:rsidR="00D852C2" w:rsidRPr="0052028E">
        <w:rPr>
          <w:rFonts w:ascii="Times New Roman" w:hAnsi="Times New Roman" w:cs="Times New Roman"/>
          <w:lang w:val="es-ES_tradnl"/>
        </w:rPr>
        <w:t xml:space="preserve">En la actualidad, </w:t>
      </w:r>
      <w:r w:rsidR="00F073AE" w:rsidRPr="0052028E">
        <w:rPr>
          <w:rFonts w:ascii="Times New Roman" w:hAnsi="Times New Roman" w:cs="Times New Roman"/>
          <w:lang w:val="es-ES_tradnl"/>
        </w:rPr>
        <w:t xml:space="preserve">las organizaciones de la sociedad civil han abogado por el paso del </w:t>
      </w:r>
      <w:r w:rsidR="00D852C2" w:rsidRPr="0052028E">
        <w:rPr>
          <w:rFonts w:ascii="Times New Roman" w:hAnsi="Times New Roman" w:cs="Times New Roman"/>
          <w:lang w:val="es-ES_tradnl"/>
        </w:rPr>
        <w:t>Boletín No. 10.035-17, por me</w:t>
      </w:r>
      <w:r w:rsidR="00F073AE" w:rsidRPr="0052028E">
        <w:rPr>
          <w:rFonts w:ascii="Times New Roman" w:hAnsi="Times New Roman" w:cs="Times New Roman"/>
          <w:lang w:val="es-ES_tradnl"/>
        </w:rPr>
        <w:t xml:space="preserve">dio del cual se reforma la LAD. </w:t>
      </w:r>
      <w:r w:rsidR="00820AC0" w:rsidRPr="0052028E">
        <w:rPr>
          <w:rFonts w:ascii="Times New Roman" w:hAnsi="Times New Roman" w:cs="Times New Roman"/>
          <w:lang w:val="es-ES_tradnl"/>
        </w:rPr>
        <w:t>Sin embargo, a</w:t>
      </w:r>
      <w:r w:rsidR="00F073AE" w:rsidRPr="0052028E">
        <w:rPr>
          <w:rFonts w:ascii="Times New Roman" w:hAnsi="Times New Roman" w:cs="Times New Roman"/>
          <w:lang w:val="es-ES_tradnl"/>
        </w:rPr>
        <w:t xml:space="preserve"> pesar de haber </w:t>
      </w:r>
      <w:r w:rsidR="00820AC0" w:rsidRPr="0052028E">
        <w:rPr>
          <w:rFonts w:ascii="Times New Roman" w:hAnsi="Times New Roman" w:cs="Times New Roman"/>
          <w:lang w:val="es-ES_tradnl"/>
        </w:rPr>
        <w:t>los varios esfuerzos</w:t>
      </w:r>
      <w:r w:rsidR="00F073AE" w:rsidRPr="0052028E">
        <w:rPr>
          <w:rFonts w:ascii="Times New Roman" w:hAnsi="Times New Roman" w:cs="Times New Roman"/>
          <w:lang w:val="es-ES_tradnl"/>
        </w:rPr>
        <w:t xml:space="preserve"> legislativos y administrativos</w:t>
      </w:r>
      <w:r w:rsidR="00820AC0" w:rsidRPr="0052028E">
        <w:rPr>
          <w:rFonts w:ascii="Times New Roman" w:hAnsi="Times New Roman" w:cs="Times New Roman"/>
          <w:lang w:val="es-ES_tradnl"/>
        </w:rPr>
        <w:t xml:space="preserve">, todavía existe una enorme falta de protección para las personas LGBT, y especialmente para las niñas, niños y adolescentes en el país; están expuestas y expuestos a discriminaciones tanto en la </w:t>
      </w:r>
      <w:bookmarkStart w:id="1" w:name="_GoBack"/>
      <w:r w:rsidR="00820AC0" w:rsidRPr="0052028E">
        <w:rPr>
          <w:rFonts w:ascii="Times New Roman" w:hAnsi="Times New Roman" w:cs="Times New Roman"/>
          <w:lang w:val="es-ES_tradnl"/>
        </w:rPr>
        <w:t>esfera privada, como en la esfera pública.</w:t>
      </w:r>
    </w:p>
    <w:bookmarkEnd w:id="1"/>
    <w:p w14:paraId="37B2A8F8" w14:textId="1CF1DAA0" w:rsidR="00D05D96" w:rsidRPr="0052028E" w:rsidRDefault="00D05D96" w:rsidP="00B23757">
      <w:pPr>
        <w:widowControl w:val="0"/>
        <w:autoSpaceDE w:val="0"/>
        <w:autoSpaceDN w:val="0"/>
        <w:adjustRightInd w:val="0"/>
        <w:spacing w:after="240"/>
        <w:jc w:val="both"/>
        <w:rPr>
          <w:rFonts w:ascii="Times New Roman" w:hAnsi="Times New Roman" w:cs="Times New Roman"/>
          <w:lang w:val="es-ES_tradnl"/>
        </w:rPr>
      </w:pPr>
      <w:r w:rsidRPr="0052028E">
        <w:rPr>
          <w:rFonts w:ascii="Times New Roman" w:hAnsi="Times New Roman" w:cs="Times New Roman"/>
          <w:lang w:val="es-ES_tradnl"/>
        </w:rPr>
        <w:t>La segunda parte del informe discute las barreras que enfrentan los ni</w:t>
      </w:r>
      <w:r w:rsidR="000703D8" w:rsidRPr="0052028E">
        <w:rPr>
          <w:rFonts w:ascii="Times New Roman" w:hAnsi="Times New Roman" w:cs="Times New Roman"/>
          <w:lang w:val="es-ES_tradnl"/>
        </w:rPr>
        <w:t>ños</w:t>
      </w:r>
      <w:r w:rsidRPr="0052028E">
        <w:rPr>
          <w:rFonts w:ascii="Times New Roman" w:hAnsi="Times New Roman" w:cs="Times New Roman"/>
          <w:lang w:val="es-ES_tradnl"/>
        </w:rPr>
        <w:t>, ni</w:t>
      </w:r>
      <w:r w:rsidR="000703D8" w:rsidRPr="0052028E">
        <w:rPr>
          <w:rFonts w:ascii="Times New Roman" w:hAnsi="Times New Roman" w:cs="Times New Roman"/>
          <w:lang w:val="es-ES_tradnl"/>
        </w:rPr>
        <w:t>ña</w:t>
      </w:r>
      <w:r w:rsidRPr="0052028E">
        <w:rPr>
          <w:rFonts w:ascii="Times New Roman" w:hAnsi="Times New Roman" w:cs="Times New Roman"/>
          <w:lang w:val="es-ES_tradnl"/>
        </w:rPr>
        <w:t>s y adolescentes trans</w:t>
      </w:r>
      <w:r w:rsidR="00820AC0" w:rsidRPr="0052028E">
        <w:rPr>
          <w:rFonts w:ascii="Times New Roman" w:hAnsi="Times New Roman" w:cs="Times New Roman"/>
          <w:lang w:val="es-ES_tradnl"/>
        </w:rPr>
        <w:t>género</w:t>
      </w:r>
      <w:r w:rsidRPr="0052028E">
        <w:rPr>
          <w:rFonts w:ascii="Times New Roman" w:hAnsi="Times New Roman" w:cs="Times New Roman"/>
          <w:lang w:val="es-ES_tradnl"/>
        </w:rPr>
        <w:t xml:space="preserve"> en r</w:t>
      </w:r>
      <w:r w:rsidR="009F4B36" w:rsidRPr="0052028E">
        <w:rPr>
          <w:rFonts w:ascii="Times New Roman" w:hAnsi="Times New Roman" w:cs="Times New Roman"/>
          <w:lang w:val="es-ES_tradnl"/>
        </w:rPr>
        <w:t xml:space="preserve">elación a sus derechos civiles. </w:t>
      </w:r>
      <w:r w:rsidR="00820AC0" w:rsidRPr="0052028E">
        <w:rPr>
          <w:rFonts w:ascii="Times New Roman" w:hAnsi="Times New Roman" w:cs="Times New Roman"/>
          <w:lang w:val="es-ES_tradnl"/>
        </w:rPr>
        <w:t>La</w:t>
      </w:r>
      <w:r w:rsidR="00BD284B" w:rsidRPr="0052028E">
        <w:rPr>
          <w:rFonts w:ascii="Times New Roman" w:hAnsi="Times New Roman" w:cs="Times New Roman"/>
          <w:lang w:val="es-ES_tradnl"/>
        </w:rPr>
        <w:t xml:space="preserve"> tercera parte del informe</w:t>
      </w:r>
      <w:r w:rsidR="00820AC0" w:rsidRPr="0052028E">
        <w:rPr>
          <w:rFonts w:ascii="Times New Roman" w:hAnsi="Times New Roman" w:cs="Times New Roman"/>
          <w:lang w:val="es-ES_tradnl"/>
        </w:rPr>
        <w:t xml:space="preserve"> </w:t>
      </w:r>
      <w:r w:rsidR="00BD284B" w:rsidRPr="0052028E">
        <w:rPr>
          <w:rFonts w:ascii="Times New Roman" w:hAnsi="Times New Roman" w:cs="Times New Roman"/>
          <w:lang w:val="es-ES_tradnl"/>
        </w:rPr>
        <w:t xml:space="preserve">resalta la importancia de crear condiciones que garanticen el acceso </w:t>
      </w:r>
      <w:r w:rsidR="00820AC0" w:rsidRPr="0052028E">
        <w:rPr>
          <w:rFonts w:ascii="Times New Roman" w:hAnsi="Times New Roman" w:cs="Times New Roman"/>
          <w:lang w:val="es-ES_tradnl"/>
        </w:rPr>
        <w:t xml:space="preserve">a la educación de </w:t>
      </w:r>
      <w:r w:rsidR="00BD284B" w:rsidRPr="0052028E">
        <w:rPr>
          <w:rFonts w:ascii="Times New Roman" w:hAnsi="Times New Roman" w:cs="Times New Roman"/>
          <w:lang w:val="es-ES_tradnl"/>
        </w:rPr>
        <w:t xml:space="preserve">los niños, niñas y adolescentes </w:t>
      </w:r>
      <w:r w:rsidR="00820AC0" w:rsidRPr="0052028E">
        <w:rPr>
          <w:rFonts w:ascii="Times New Roman" w:hAnsi="Times New Roman" w:cs="Times New Roman"/>
          <w:lang w:val="es-ES_tradnl"/>
        </w:rPr>
        <w:t xml:space="preserve">LGBT, </w:t>
      </w:r>
      <w:r w:rsidR="00BD284B" w:rsidRPr="0052028E">
        <w:rPr>
          <w:rFonts w:ascii="Times New Roman" w:hAnsi="Times New Roman" w:cs="Times New Roman"/>
          <w:lang w:val="es-ES_tradnl"/>
        </w:rPr>
        <w:t xml:space="preserve">de acuerdo con el principio de la no discriminación en el ámbito escolar. </w:t>
      </w:r>
      <w:r w:rsidR="004915F7" w:rsidRPr="0052028E">
        <w:rPr>
          <w:rFonts w:ascii="Times New Roman" w:hAnsi="Times New Roman" w:cs="Times New Roman"/>
          <w:lang w:val="es-ES_tradnl"/>
        </w:rPr>
        <w:t xml:space="preserve">Finalmente, la cuarta parte del informe se enfoca en el tema de la adopción en relación a la Ley No. 200830 de 2015, que legalizó las uniones civiles. Hace un llamado a la urgente necesidad de garantizar que los niños, niñas y adolescentes puedan crecer en ambientes familiares. </w:t>
      </w:r>
    </w:p>
    <w:p w14:paraId="094BAD15" w14:textId="03E82BC9" w:rsidR="000703D8" w:rsidRPr="0052028E" w:rsidRDefault="004915F7" w:rsidP="00B23757">
      <w:pPr>
        <w:widowControl w:val="0"/>
        <w:autoSpaceDE w:val="0"/>
        <w:autoSpaceDN w:val="0"/>
        <w:adjustRightInd w:val="0"/>
        <w:spacing w:after="240"/>
        <w:jc w:val="both"/>
        <w:rPr>
          <w:rFonts w:ascii="Times New Roman" w:hAnsi="Times New Roman" w:cs="Times New Roman"/>
          <w:lang w:val="es-ES_tradnl"/>
        </w:rPr>
      </w:pPr>
      <w:r w:rsidRPr="0052028E">
        <w:rPr>
          <w:rFonts w:ascii="Times New Roman" w:hAnsi="Times New Roman" w:cs="Times New Roman"/>
          <w:lang w:val="es-ES_tradnl"/>
        </w:rPr>
        <w:t xml:space="preserve">Reconociendo que la niñez debe tener protecciones especiales, este documento se presenta con la esperanza de contribuir a la </w:t>
      </w:r>
      <w:r w:rsidR="00820AC0" w:rsidRPr="0052028E">
        <w:rPr>
          <w:rFonts w:ascii="Times New Roman" w:hAnsi="Times New Roman" w:cs="Times New Roman"/>
          <w:lang w:val="es-ES_tradnl"/>
        </w:rPr>
        <w:t xml:space="preserve">revisión que hará el Comité sobre Chile, y así mismo, a la restauración de </w:t>
      </w:r>
      <w:r w:rsidRPr="0052028E">
        <w:rPr>
          <w:rFonts w:ascii="Times New Roman" w:hAnsi="Times New Roman" w:cs="Times New Roman"/>
          <w:lang w:val="es-ES_tradnl"/>
        </w:rPr>
        <w:t xml:space="preserve">la dignidad y a la garantía plena de los derechos de los niños, niñas y adolescentes LGBT. </w:t>
      </w:r>
    </w:p>
    <w:p w14:paraId="7FC0496F" w14:textId="2E94EBFF" w:rsidR="001A7DEF" w:rsidRPr="006C60C7" w:rsidRDefault="004915F7" w:rsidP="006C60C7">
      <w:pPr>
        <w:pStyle w:val="Ttulo1"/>
        <w:rPr>
          <w:rFonts w:ascii="Times New Roman" w:hAnsi="Times New Roman" w:cs="Times New Roman"/>
          <w:color w:val="000000" w:themeColor="text1"/>
          <w:sz w:val="28"/>
          <w:szCs w:val="28"/>
        </w:rPr>
      </w:pPr>
      <w:bookmarkStart w:id="2" w:name="_Toc298099159"/>
      <w:r w:rsidRPr="00AC72FD">
        <w:rPr>
          <w:rFonts w:ascii="Times New Roman" w:hAnsi="Times New Roman" w:cs="Times New Roman"/>
          <w:color w:val="000000" w:themeColor="text1"/>
          <w:sz w:val="28"/>
          <w:szCs w:val="28"/>
          <w:lang w:val="es-ES_tradnl"/>
        </w:rPr>
        <w:t xml:space="preserve">I. </w:t>
      </w:r>
      <w:r w:rsidR="001A7DEF" w:rsidRPr="00AC72FD">
        <w:rPr>
          <w:rFonts w:ascii="Times New Roman" w:hAnsi="Times New Roman" w:cs="Times New Roman"/>
          <w:color w:val="000000" w:themeColor="text1"/>
          <w:sz w:val="28"/>
          <w:szCs w:val="28"/>
          <w:lang w:val="es-ES_tradnl"/>
        </w:rPr>
        <w:t>Principios generales</w:t>
      </w:r>
      <w:r w:rsidR="001A7DEF" w:rsidRPr="0052028E">
        <w:rPr>
          <w:rFonts w:ascii="Times New Roman" w:hAnsi="Times New Roman" w:cs="Times New Roman"/>
          <w:color w:val="000000" w:themeColor="text1"/>
          <w:sz w:val="28"/>
          <w:szCs w:val="28"/>
        </w:rPr>
        <w:t xml:space="preserve"> (arts. 2, 3, 6 y 12)</w:t>
      </w:r>
      <w:bookmarkEnd w:id="2"/>
    </w:p>
    <w:p w14:paraId="0ECE2342" w14:textId="401B5E20" w:rsidR="001A7DEF" w:rsidRPr="0052028E" w:rsidRDefault="004915F7" w:rsidP="004915F7">
      <w:pPr>
        <w:pStyle w:val="Ttulo2"/>
        <w:rPr>
          <w:rFonts w:ascii="Times New Roman" w:hAnsi="Times New Roman" w:cs="Times New Roman"/>
          <w:color w:val="000000" w:themeColor="text1"/>
          <w:lang w:val="es-ES_tradnl"/>
        </w:rPr>
      </w:pPr>
      <w:bookmarkStart w:id="3" w:name="_Toc298099160"/>
      <w:r w:rsidRPr="0052028E">
        <w:rPr>
          <w:rFonts w:ascii="Times New Roman" w:hAnsi="Times New Roman" w:cs="Times New Roman"/>
          <w:color w:val="000000" w:themeColor="text1"/>
          <w:lang w:val="es-ES_tradnl"/>
        </w:rPr>
        <w:t xml:space="preserve">1. </w:t>
      </w:r>
      <w:r w:rsidR="001A7DEF" w:rsidRPr="0052028E">
        <w:rPr>
          <w:rFonts w:ascii="Times New Roman" w:hAnsi="Times New Roman" w:cs="Times New Roman"/>
          <w:color w:val="000000" w:themeColor="text1"/>
          <w:lang w:val="es-ES_tradnl"/>
        </w:rPr>
        <w:t xml:space="preserve">La Ley Anti-Discriminación no aplica el principio de la no </w:t>
      </w:r>
      <w:r w:rsidR="00447BED" w:rsidRPr="0052028E">
        <w:rPr>
          <w:rFonts w:ascii="Times New Roman" w:hAnsi="Times New Roman" w:cs="Times New Roman"/>
          <w:color w:val="000000" w:themeColor="text1"/>
          <w:lang w:val="es-ES_tradnl"/>
        </w:rPr>
        <w:t>discriminación</w:t>
      </w:r>
      <w:r w:rsidR="001A7DEF" w:rsidRPr="0052028E">
        <w:rPr>
          <w:rFonts w:ascii="Times New Roman" w:hAnsi="Times New Roman" w:cs="Times New Roman"/>
          <w:color w:val="000000" w:themeColor="text1"/>
          <w:lang w:val="es-ES_tradnl"/>
        </w:rPr>
        <w:t xml:space="preserve"> de manera efectiva </w:t>
      </w:r>
      <w:r w:rsidR="00447BED" w:rsidRPr="0052028E">
        <w:rPr>
          <w:rFonts w:ascii="Times New Roman" w:hAnsi="Times New Roman" w:cs="Times New Roman"/>
          <w:color w:val="000000" w:themeColor="text1"/>
          <w:lang w:val="es-ES_tradnl"/>
        </w:rPr>
        <w:t>(Artículo 2)</w:t>
      </w:r>
      <w:bookmarkEnd w:id="3"/>
      <w:r w:rsidR="00447BED" w:rsidRPr="0052028E">
        <w:rPr>
          <w:rFonts w:ascii="Times New Roman" w:hAnsi="Times New Roman" w:cs="Times New Roman"/>
          <w:color w:val="000000" w:themeColor="text1"/>
          <w:lang w:val="es-ES_tradnl"/>
        </w:rPr>
        <w:t xml:space="preserve"> </w:t>
      </w:r>
    </w:p>
    <w:p w14:paraId="152B5F3D" w14:textId="77777777" w:rsidR="001A7DEF" w:rsidRPr="0052028E" w:rsidRDefault="001A7DEF" w:rsidP="001A7DEF">
      <w:pPr>
        <w:rPr>
          <w:rFonts w:ascii="Times New Roman" w:eastAsia="Times New Roman" w:hAnsi="Times New Roman" w:cs="Times New Roman"/>
          <w:b/>
        </w:rPr>
      </w:pPr>
    </w:p>
    <w:p w14:paraId="3BF16CD8" w14:textId="32C6EA02" w:rsidR="001A7DEF" w:rsidRPr="0052028E" w:rsidRDefault="001A7DEF" w:rsidP="002F243C">
      <w:pPr>
        <w:jc w:val="both"/>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Bajo la Constitución de Chile, el artículo 19, numeral 2, reconoce que toda persona y/o grupo es igual ante la ley. Así mismo, tal como evidencia el reporte presentado por el Estado ante el Comité, la Ley Anti Discriminación (Boletín No. 20609) del 2012 “establece medidas contra la discriminación, instaurando un mecanismo judicial que permita restablecer eficazmente el imperio del derecho toda vez que se cometa un acto de discriminación arbitraria”.</w:t>
      </w:r>
      <w:r w:rsidR="00694FEE" w:rsidRPr="0052028E">
        <w:rPr>
          <w:rStyle w:val="Refdenotaalpie"/>
          <w:rFonts w:ascii="Times New Roman" w:eastAsia="Times New Roman" w:hAnsi="Times New Roman" w:cs="Times New Roman"/>
          <w:lang w:val="es-ES_tradnl"/>
        </w:rPr>
        <w:footnoteReference w:id="4"/>
      </w:r>
      <w:r w:rsidRPr="0052028E">
        <w:rPr>
          <w:rFonts w:ascii="Times New Roman" w:eastAsia="Times New Roman" w:hAnsi="Times New Roman" w:cs="Times New Roman"/>
          <w:lang w:val="es-ES_tradnl"/>
        </w:rPr>
        <w:t xml:space="preserve">  Al reconocer la urgente necesidad de abordar la prevalencia de la discriminación, la entrada del Boletín No. 20609 (2012) representa un avance significativo para la niñez y adolescencia LGBT</w:t>
      </w:r>
      <w:r w:rsidR="000B18D8" w:rsidRPr="0052028E">
        <w:rPr>
          <w:rFonts w:ascii="Times New Roman" w:eastAsia="Times New Roman" w:hAnsi="Times New Roman" w:cs="Times New Roman"/>
          <w:lang w:val="es-ES_tradnl"/>
        </w:rPr>
        <w:t>I</w:t>
      </w:r>
      <w:r w:rsidRPr="0052028E">
        <w:rPr>
          <w:rFonts w:ascii="Times New Roman" w:eastAsia="Times New Roman" w:hAnsi="Times New Roman" w:cs="Times New Roman"/>
          <w:lang w:val="es-ES_tradnl"/>
        </w:rPr>
        <w:t xml:space="preserve"> en Chile. No obstante, la ley presenta limitaciones severas y no garantiza el goce pleno de sus derechos</w:t>
      </w:r>
      <w:r w:rsidR="002955E4" w:rsidRPr="0052028E">
        <w:rPr>
          <w:rFonts w:ascii="Times New Roman" w:eastAsia="Times New Roman" w:hAnsi="Times New Roman" w:cs="Times New Roman"/>
          <w:lang w:val="es-ES_tradnl"/>
        </w:rPr>
        <w:t xml:space="preserve"> --</w:t>
      </w:r>
      <w:r w:rsidRPr="0052028E">
        <w:rPr>
          <w:rFonts w:ascii="Times New Roman" w:eastAsia="Times New Roman" w:hAnsi="Times New Roman" w:cs="Times New Roman"/>
          <w:lang w:val="es-ES_tradnl"/>
        </w:rPr>
        <w:t>sin discriminación de ningún</w:t>
      </w:r>
      <w:r w:rsidR="00824BFC" w:rsidRPr="0052028E">
        <w:rPr>
          <w:rFonts w:ascii="Times New Roman" w:eastAsia="Times New Roman" w:hAnsi="Times New Roman" w:cs="Times New Roman"/>
          <w:lang w:val="es-ES_tradnl"/>
        </w:rPr>
        <w:t xml:space="preserve"> tipo </w:t>
      </w:r>
      <w:r w:rsidR="002955E4" w:rsidRPr="0052028E">
        <w:rPr>
          <w:rFonts w:ascii="Times New Roman" w:eastAsia="Times New Roman" w:hAnsi="Times New Roman" w:cs="Times New Roman"/>
          <w:lang w:val="es-ES_tradnl"/>
        </w:rPr>
        <w:t>--</w:t>
      </w:r>
      <w:r w:rsidRPr="0052028E">
        <w:rPr>
          <w:rFonts w:ascii="Times New Roman" w:eastAsia="Times New Roman" w:hAnsi="Times New Roman" w:cs="Times New Roman"/>
          <w:lang w:val="es-ES_tradnl"/>
        </w:rPr>
        <w:t xml:space="preserve"> a nivel práctico. </w:t>
      </w:r>
    </w:p>
    <w:p w14:paraId="37E97176" w14:textId="77777777" w:rsidR="001A7DEF" w:rsidRPr="0052028E" w:rsidRDefault="001A7DEF" w:rsidP="001A7DEF">
      <w:pPr>
        <w:rPr>
          <w:rFonts w:ascii="Times New Roman" w:eastAsia="Times New Roman" w:hAnsi="Times New Roman" w:cs="Times New Roman"/>
          <w:lang w:val="es-ES_tradnl"/>
        </w:rPr>
      </w:pPr>
    </w:p>
    <w:p w14:paraId="64635170" w14:textId="09EB9CF2" w:rsidR="001A7DEF" w:rsidRPr="0052028E" w:rsidRDefault="000911EB" w:rsidP="002F243C">
      <w:pPr>
        <w:jc w:val="both"/>
        <w:rPr>
          <w:rFonts w:ascii="Times New Roman" w:eastAsia="Times New Roman" w:hAnsi="Times New Roman" w:cs="Times New Roman"/>
          <w:color w:val="222222"/>
          <w:shd w:val="clear" w:color="auto" w:fill="FFFFFF"/>
          <w:lang w:val="es-ES_tradnl"/>
        </w:rPr>
      </w:pPr>
      <w:r>
        <w:rPr>
          <w:rFonts w:ascii="Times New Roman" w:eastAsia="Times New Roman" w:hAnsi="Times New Roman" w:cs="Times New Roman"/>
          <w:lang w:val="es-ES_tradnl"/>
        </w:rPr>
        <w:t>E</w:t>
      </w:r>
      <w:r w:rsidR="001A7DEF" w:rsidRPr="0052028E">
        <w:rPr>
          <w:rFonts w:ascii="Times New Roman" w:eastAsia="Times New Roman" w:hAnsi="Times New Roman" w:cs="Times New Roman"/>
          <w:lang w:val="es-ES_tradnl"/>
        </w:rPr>
        <w:t xml:space="preserve">l artículo 2 de la Ley Anti-Discriminación afirma que toda </w:t>
      </w:r>
      <w:r w:rsidR="00820AC0" w:rsidRPr="0052028E">
        <w:rPr>
          <w:rFonts w:ascii="Times New Roman" w:eastAsia="Times New Roman" w:hAnsi="Times New Roman" w:cs="Times New Roman"/>
          <w:lang w:val="es-ES_tradnl"/>
        </w:rPr>
        <w:t>“</w:t>
      </w:r>
      <w:r w:rsidR="001A7DEF" w:rsidRPr="0052028E">
        <w:rPr>
          <w:rFonts w:ascii="Times New Roman" w:eastAsia="Times New Roman" w:hAnsi="Times New Roman" w:cs="Times New Roman"/>
          <w:lang w:val="es-ES_tradnl"/>
        </w:rPr>
        <w:t>distinción</w:t>
      </w:r>
      <w:r w:rsidR="00820AC0" w:rsidRPr="0052028E">
        <w:rPr>
          <w:rFonts w:ascii="Times New Roman" w:eastAsia="Times New Roman" w:hAnsi="Times New Roman" w:cs="Times New Roman"/>
          <w:lang w:val="es-ES_tradnl"/>
        </w:rPr>
        <w:t>”</w:t>
      </w:r>
      <w:r w:rsidR="001A7DEF" w:rsidRPr="0052028E">
        <w:rPr>
          <w:rFonts w:ascii="Times New Roman" w:eastAsia="Times New Roman" w:hAnsi="Times New Roman" w:cs="Times New Roman"/>
          <w:lang w:val="es-ES_tradnl"/>
        </w:rPr>
        <w:t xml:space="preserve">, </w:t>
      </w:r>
      <w:r w:rsidR="00820AC0" w:rsidRPr="0052028E">
        <w:rPr>
          <w:rFonts w:ascii="Times New Roman" w:eastAsia="Times New Roman" w:hAnsi="Times New Roman" w:cs="Times New Roman"/>
          <w:lang w:val="es-ES_tradnl"/>
        </w:rPr>
        <w:t>“</w:t>
      </w:r>
      <w:r w:rsidR="001A7DEF" w:rsidRPr="0052028E">
        <w:rPr>
          <w:rFonts w:ascii="Times New Roman" w:eastAsia="Times New Roman" w:hAnsi="Times New Roman" w:cs="Times New Roman"/>
          <w:lang w:val="es-ES_tradnl"/>
        </w:rPr>
        <w:t>exclusión</w:t>
      </w:r>
      <w:r w:rsidR="00820AC0" w:rsidRPr="0052028E">
        <w:rPr>
          <w:rFonts w:ascii="Times New Roman" w:eastAsia="Times New Roman" w:hAnsi="Times New Roman" w:cs="Times New Roman"/>
          <w:lang w:val="es-ES_tradnl"/>
        </w:rPr>
        <w:t>”</w:t>
      </w:r>
      <w:r w:rsidR="001A7DEF" w:rsidRPr="0052028E">
        <w:rPr>
          <w:rFonts w:ascii="Times New Roman" w:eastAsia="Times New Roman" w:hAnsi="Times New Roman" w:cs="Times New Roman"/>
          <w:lang w:val="es-ES_tradnl"/>
        </w:rPr>
        <w:t xml:space="preserve"> o </w:t>
      </w:r>
      <w:r w:rsidR="00820AC0" w:rsidRPr="0052028E">
        <w:rPr>
          <w:rFonts w:ascii="Times New Roman" w:eastAsia="Times New Roman" w:hAnsi="Times New Roman" w:cs="Times New Roman"/>
          <w:lang w:val="es-ES_tradnl"/>
        </w:rPr>
        <w:t>“</w:t>
      </w:r>
      <w:r w:rsidR="001A7DEF" w:rsidRPr="0052028E">
        <w:rPr>
          <w:rFonts w:ascii="Times New Roman" w:eastAsia="Times New Roman" w:hAnsi="Times New Roman" w:cs="Times New Roman"/>
          <w:lang w:val="es-ES_tradnl"/>
        </w:rPr>
        <w:t>restricción</w:t>
      </w:r>
      <w:r w:rsidR="00820AC0" w:rsidRPr="0052028E">
        <w:rPr>
          <w:rFonts w:ascii="Times New Roman" w:eastAsia="Times New Roman" w:hAnsi="Times New Roman" w:cs="Times New Roman"/>
          <w:lang w:val="es-ES_tradnl"/>
        </w:rPr>
        <w:t>”</w:t>
      </w:r>
      <w:r w:rsidR="001A7DEF" w:rsidRPr="0052028E">
        <w:rPr>
          <w:rFonts w:ascii="Times New Roman" w:eastAsia="Times New Roman" w:hAnsi="Times New Roman" w:cs="Times New Roman"/>
          <w:lang w:val="es-ES_tradnl"/>
        </w:rPr>
        <w:t xml:space="preserve"> basada en criterios especificados – y entre los cuales están incluidas la orientación sexual y la identidad de género – tendrán una justificación razonable, siempre y cuando “</w:t>
      </w:r>
      <w:r w:rsidR="001A7DEF" w:rsidRPr="0052028E">
        <w:rPr>
          <w:rFonts w:ascii="Times New Roman" w:eastAsia="Times New Roman" w:hAnsi="Times New Roman" w:cs="Times New Roman"/>
          <w:color w:val="222222"/>
          <w:shd w:val="clear" w:color="auto" w:fill="FFFFFF"/>
          <w:lang w:val="es-ES_tradnl"/>
        </w:rPr>
        <w:t>se encuentren justificadas en el ejercicio legítimo de otro derecho fundamental.”</w:t>
      </w:r>
      <w:r w:rsidR="002955E4" w:rsidRPr="0052028E">
        <w:rPr>
          <w:rStyle w:val="Refdenotaalpie"/>
          <w:rFonts w:ascii="Times New Roman" w:eastAsia="Times New Roman" w:hAnsi="Times New Roman" w:cs="Times New Roman"/>
          <w:color w:val="222222"/>
          <w:shd w:val="clear" w:color="auto" w:fill="FFFFFF"/>
          <w:lang w:val="es-ES_tradnl"/>
        </w:rPr>
        <w:footnoteReference w:id="5"/>
      </w:r>
      <w:r w:rsidR="00824BFC" w:rsidRPr="0052028E">
        <w:rPr>
          <w:rFonts w:ascii="Times New Roman" w:eastAsia="Times New Roman" w:hAnsi="Times New Roman" w:cs="Times New Roman"/>
          <w:color w:val="222222"/>
          <w:shd w:val="clear" w:color="auto" w:fill="FFFFFF"/>
          <w:lang w:val="es-ES_tradnl"/>
        </w:rPr>
        <w:t xml:space="preserve"> </w:t>
      </w:r>
      <w:r w:rsidR="001A7DEF" w:rsidRPr="0052028E">
        <w:rPr>
          <w:rFonts w:ascii="Times New Roman" w:eastAsia="Times New Roman" w:hAnsi="Times New Roman" w:cs="Times New Roman"/>
          <w:color w:val="222222"/>
          <w:shd w:val="clear" w:color="auto" w:fill="FFFFFF"/>
          <w:lang w:val="es-ES_tradnl"/>
        </w:rPr>
        <w:t xml:space="preserve">Estos derechos fundamentales </w:t>
      </w:r>
      <w:r>
        <w:rPr>
          <w:rFonts w:ascii="Times New Roman" w:eastAsia="Times New Roman" w:hAnsi="Times New Roman" w:cs="Times New Roman"/>
          <w:color w:val="222222"/>
          <w:shd w:val="clear" w:color="auto" w:fill="FFFFFF"/>
          <w:lang w:val="es-ES_tradnl"/>
        </w:rPr>
        <w:t xml:space="preserve">se refieren a aquellos protegidos por el Artículo 19 de la Constitución e </w:t>
      </w:r>
      <w:r w:rsidR="001A7DEF" w:rsidRPr="0052028E">
        <w:rPr>
          <w:rFonts w:ascii="Times New Roman" w:eastAsia="Times New Roman" w:hAnsi="Times New Roman" w:cs="Times New Roman"/>
          <w:color w:val="222222"/>
          <w:shd w:val="clear" w:color="auto" w:fill="FFFFFF"/>
          <w:lang w:val="es-ES_tradnl"/>
        </w:rPr>
        <w:t xml:space="preserve">incluyen la libertad de consciencia y religión, la </w:t>
      </w:r>
      <w:r w:rsidR="000B18D8" w:rsidRPr="0052028E">
        <w:rPr>
          <w:rFonts w:ascii="Times New Roman" w:eastAsia="Times New Roman" w:hAnsi="Times New Roman" w:cs="Times New Roman"/>
          <w:color w:val="222222"/>
          <w:shd w:val="clear" w:color="auto" w:fill="FFFFFF"/>
          <w:lang w:val="es-ES_tradnl"/>
        </w:rPr>
        <w:t>libertad</w:t>
      </w:r>
      <w:r w:rsidR="001A7DEF" w:rsidRPr="0052028E">
        <w:rPr>
          <w:rFonts w:ascii="Times New Roman" w:eastAsia="Times New Roman" w:hAnsi="Times New Roman" w:cs="Times New Roman"/>
          <w:color w:val="222222"/>
          <w:shd w:val="clear" w:color="auto" w:fill="FFFFFF"/>
          <w:lang w:val="es-ES_tradnl"/>
        </w:rPr>
        <w:t xml:space="preserve"> de enseñanza y las buenas costumbres, entre otros. Esto quiere decir que las garantías constitucionales bajo el Artículo 19 son priorizadas y puestas por encima del derecho de ser libre de toda discriminación, estableciendo una jerarquía que</w:t>
      </w:r>
      <w:r w:rsidR="00824BFC" w:rsidRPr="0052028E">
        <w:rPr>
          <w:rFonts w:ascii="Times New Roman" w:eastAsia="Times New Roman" w:hAnsi="Times New Roman" w:cs="Times New Roman"/>
          <w:color w:val="222222"/>
          <w:shd w:val="clear" w:color="auto" w:fill="FFFFFF"/>
          <w:lang w:val="es-ES_tradnl"/>
        </w:rPr>
        <w:t>,</w:t>
      </w:r>
      <w:r w:rsidR="001A7DEF" w:rsidRPr="0052028E">
        <w:rPr>
          <w:rFonts w:ascii="Times New Roman" w:eastAsia="Times New Roman" w:hAnsi="Times New Roman" w:cs="Times New Roman"/>
          <w:color w:val="222222"/>
          <w:shd w:val="clear" w:color="auto" w:fill="FFFFFF"/>
          <w:lang w:val="es-ES_tradnl"/>
        </w:rPr>
        <w:t xml:space="preserve"> en última instancia, legitima la discriminación </w:t>
      </w:r>
      <w:r w:rsidR="001A7DEF" w:rsidRPr="0052028E">
        <w:rPr>
          <w:rFonts w:ascii="Times New Roman" w:eastAsia="Times New Roman" w:hAnsi="Times New Roman" w:cs="Times New Roman"/>
          <w:i/>
          <w:color w:val="222222"/>
          <w:shd w:val="clear" w:color="auto" w:fill="FFFFFF"/>
          <w:lang w:val="es-ES_tradnl"/>
        </w:rPr>
        <w:t>de facto</w:t>
      </w:r>
      <w:r w:rsidR="001A7DEF" w:rsidRPr="0052028E">
        <w:rPr>
          <w:rFonts w:ascii="Times New Roman" w:eastAsia="Times New Roman" w:hAnsi="Times New Roman" w:cs="Times New Roman"/>
          <w:color w:val="222222"/>
          <w:shd w:val="clear" w:color="auto" w:fill="FFFFFF"/>
          <w:lang w:val="es-ES_tradnl"/>
        </w:rPr>
        <w:t xml:space="preserve"> contra las niñas, los niños y adolescentes (NNA)</w:t>
      </w:r>
      <w:r w:rsidR="000B18D8" w:rsidRPr="0052028E">
        <w:rPr>
          <w:rFonts w:ascii="Times New Roman" w:eastAsia="Times New Roman" w:hAnsi="Times New Roman" w:cs="Times New Roman"/>
          <w:color w:val="222222"/>
          <w:shd w:val="clear" w:color="auto" w:fill="FFFFFF"/>
          <w:lang w:val="es-ES_tradnl"/>
        </w:rPr>
        <w:t xml:space="preserve"> LGBTI</w:t>
      </w:r>
      <w:r w:rsidR="001A7DEF" w:rsidRPr="0052028E">
        <w:rPr>
          <w:rFonts w:ascii="Times New Roman" w:eastAsia="Times New Roman" w:hAnsi="Times New Roman" w:cs="Times New Roman"/>
          <w:color w:val="222222"/>
          <w:shd w:val="clear" w:color="auto" w:fill="FFFFFF"/>
          <w:lang w:val="es-ES_tradnl"/>
        </w:rPr>
        <w:t>. En este sentido, la Ley Antidiscriminación –tal como está planteada—no solo</w:t>
      </w:r>
      <w:r w:rsidR="00820AC0" w:rsidRPr="0052028E">
        <w:rPr>
          <w:rFonts w:ascii="Times New Roman" w:eastAsia="Times New Roman" w:hAnsi="Times New Roman" w:cs="Times New Roman"/>
          <w:color w:val="222222"/>
          <w:shd w:val="clear" w:color="auto" w:fill="FFFFFF"/>
          <w:lang w:val="es-ES_tradnl"/>
        </w:rPr>
        <w:t xml:space="preserve"> falla en el objetivo de proteger contra la discriminación</w:t>
      </w:r>
      <w:r w:rsidR="001A7DEF" w:rsidRPr="0052028E">
        <w:rPr>
          <w:rFonts w:ascii="Times New Roman" w:eastAsia="Times New Roman" w:hAnsi="Times New Roman" w:cs="Times New Roman"/>
          <w:color w:val="222222"/>
          <w:shd w:val="clear" w:color="auto" w:fill="FFFFFF"/>
          <w:lang w:val="es-ES_tradnl"/>
        </w:rPr>
        <w:t xml:space="preserve">, </w:t>
      </w:r>
      <w:r w:rsidR="00824BFC" w:rsidRPr="0052028E">
        <w:rPr>
          <w:rFonts w:ascii="Times New Roman" w:eastAsia="Times New Roman" w:hAnsi="Times New Roman" w:cs="Times New Roman"/>
          <w:color w:val="222222"/>
          <w:shd w:val="clear" w:color="auto" w:fill="FFFFFF"/>
          <w:lang w:val="es-ES_tradnl"/>
        </w:rPr>
        <w:t>sino que</w:t>
      </w:r>
      <w:r w:rsidR="001A7DEF" w:rsidRPr="0052028E">
        <w:rPr>
          <w:rFonts w:ascii="Times New Roman" w:eastAsia="Times New Roman" w:hAnsi="Times New Roman" w:cs="Times New Roman"/>
          <w:color w:val="222222"/>
          <w:shd w:val="clear" w:color="auto" w:fill="FFFFFF"/>
          <w:lang w:val="es-ES_tradnl"/>
        </w:rPr>
        <w:t xml:space="preserve"> incluso </w:t>
      </w:r>
      <w:r w:rsidR="00820AC0" w:rsidRPr="0052028E">
        <w:rPr>
          <w:rFonts w:ascii="Times New Roman" w:eastAsia="Times New Roman" w:hAnsi="Times New Roman" w:cs="Times New Roman"/>
          <w:color w:val="222222"/>
          <w:shd w:val="clear" w:color="auto" w:fill="FFFFFF"/>
          <w:lang w:val="es-ES_tradnl"/>
        </w:rPr>
        <w:t>puede ser invocada para reforzar</w:t>
      </w:r>
      <w:r w:rsidR="001A7DEF" w:rsidRPr="0052028E">
        <w:rPr>
          <w:rFonts w:ascii="Times New Roman" w:eastAsia="Times New Roman" w:hAnsi="Times New Roman" w:cs="Times New Roman"/>
          <w:color w:val="222222"/>
          <w:shd w:val="clear" w:color="auto" w:fill="FFFFFF"/>
          <w:lang w:val="es-ES_tradnl"/>
        </w:rPr>
        <w:t xml:space="preserve"> la discriminación hacia </w:t>
      </w:r>
      <w:r w:rsidR="00A85539" w:rsidRPr="0052028E">
        <w:rPr>
          <w:rFonts w:ascii="Times New Roman" w:eastAsia="Times New Roman" w:hAnsi="Times New Roman" w:cs="Times New Roman"/>
          <w:color w:val="222222"/>
          <w:shd w:val="clear" w:color="auto" w:fill="FFFFFF"/>
          <w:lang w:val="es-ES_tradnl"/>
        </w:rPr>
        <w:t>NNA</w:t>
      </w:r>
      <w:r w:rsidR="001A7DEF" w:rsidRPr="0052028E">
        <w:rPr>
          <w:rFonts w:ascii="Times New Roman" w:eastAsia="Times New Roman" w:hAnsi="Times New Roman" w:cs="Times New Roman"/>
          <w:color w:val="222222"/>
          <w:shd w:val="clear" w:color="auto" w:fill="FFFFFF"/>
          <w:lang w:val="es-ES_tradnl"/>
        </w:rPr>
        <w:t xml:space="preserve">. </w:t>
      </w:r>
    </w:p>
    <w:p w14:paraId="5138142C" w14:textId="77777777" w:rsidR="001A7DEF" w:rsidRPr="0052028E" w:rsidRDefault="001A7DEF">
      <w:pPr>
        <w:rPr>
          <w:rFonts w:ascii="Times New Roman" w:hAnsi="Times New Roman" w:cs="Times New Roman"/>
        </w:rPr>
      </w:pPr>
    </w:p>
    <w:p w14:paraId="2EF09634" w14:textId="162AD00D" w:rsidR="000911EB" w:rsidRDefault="0026032B" w:rsidP="00FD38D2">
      <w:pPr>
        <w:jc w:val="both"/>
        <w:rPr>
          <w:rFonts w:ascii="Times New Roman" w:eastAsia="Times New Roman" w:hAnsi="Times New Roman" w:cs="Times New Roman"/>
          <w:color w:val="222222"/>
          <w:shd w:val="clear" w:color="auto" w:fill="FFFFFF"/>
          <w:lang w:val="es-ES_tradnl"/>
        </w:rPr>
      </w:pPr>
      <w:r w:rsidRPr="0052028E">
        <w:rPr>
          <w:rFonts w:ascii="Times New Roman" w:eastAsia="Times New Roman" w:hAnsi="Times New Roman" w:cs="Times New Roman"/>
          <w:color w:val="222222"/>
          <w:shd w:val="clear" w:color="auto" w:fill="FFFFFF"/>
          <w:lang w:val="es-ES_tradnl"/>
        </w:rPr>
        <w:t>En Junio del presente año</w:t>
      </w:r>
      <w:r w:rsidR="001A7DEF" w:rsidRPr="0052028E">
        <w:rPr>
          <w:rFonts w:ascii="Times New Roman" w:eastAsia="Times New Roman" w:hAnsi="Times New Roman" w:cs="Times New Roman"/>
          <w:color w:val="222222"/>
          <w:shd w:val="clear" w:color="auto" w:fill="FFFFFF"/>
          <w:lang w:val="es-ES_tradnl"/>
        </w:rPr>
        <w:t>, la Comisión de Derechos Humanos del Senado empezó las discusiones alrededor del Boletín No. 10.035-17, proyecto de ley que</w:t>
      </w:r>
      <w:r w:rsidR="00A85539" w:rsidRPr="0052028E">
        <w:rPr>
          <w:rFonts w:ascii="Times New Roman" w:eastAsia="Times New Roman" w:hAnsi="Times New Roman" w:cs="Times New Roman"/>
          <w:color w:val="222222"/>
          <w:shd w:val="clear" w:color="auto" w:fill="FFFFFF"/>
          <w:lang w:val="es-ES_tradnl"/>
        </w:rPr>
        <w:t xml:space="preserve"> tiene como objetivo reformar la Ley Anti-Discriminación (LAD)</w:t>
      </w:r>
      <w:r w:rsidR="001A7DEF" w:rsidRPr="0052028E">
        <w:rPr>
          <w:rFonts w:ascii="Times New Roman" w:eastAsia="Times New Roman" w:hAnsi="Times New Roman" w:cs="Times New Roman"/>
          <w:color w:val="222222"/>
          <w:shd w:val="clear" w:color="auto" w:fill="FFFFFF"/>
          <w:lang w:val="es-ES_tradnl"/>
        </w:rPr>
        <w:t xml:space="preserve">. </w:t>
      </w:r>
      <w:r w:rsidR="000703D8" w:rsidRPr="0052028E">
        <w:rPr>
          <w:rFonts w:ascii="Times New Roman" w:eastAsia="Times New Roman" w:hAnsi="Times New Roman" w:cs="Times New Roman"/>
          <w:color w:val="222222"/>
          <w:shd w:val="clear" w:color="auto" w:fill="FFFFFF"/>
          <w:lang w:val="es-ES_tradnl"/>
        </w:rPr>
        <w:t xml:space="preserve">El proyecto incorpora reformas importantes que podrían constituir pasos significativos en términos del cumplimiento del Estado con los estándares internacionales estipulados en cuando a la legislación anti-discriminación.  </w:t>
      </w:r>
      <w:r w:rsidR="000911EB">
        <w:rPr>
          <w:rFonts w:ascii="Times New Roman" w:eastAsia="Times New Roman" w:hAnsi="Times New Roman" w:cs="Times New Roman"/>
          <w:color w:val="222222"/>
          <w:shd w:val="clear" w:color="auto" w:fill="FFFFFF"/>
          <w:lang w:val="es-ES_tradnl"/>
        </w:rPr>
        <w:t>Se</w:t>
      </w:r>
      <w:r w:rsidR="00403E96">
        <w:rPr>
          <w:rFonts w:ascii="Times New Roman" w:eastAsia="Times New Roman" w:hAnsi="Times New Roman" w:cs="Times New Roman"/>
          <w:color w:val="222222"/>
          <w:shd w:val="clear" w:color="auto" w:fill="FFFFFF"/>
          <w:lang w:val="es-ES_tradnl"/>
        </w:rPr>
        <w:t>g</w:t>
      </w:r>
      <w:r w:rsidR="000911EB">
        <w:rPr>
          <w:rFonts w:ascii="Times New Roman" w:eastAsia="Times New Roman" w:hAnsi="Times New Roman" w:cs="Times New Roman"/>
          <w:color w:val="222222"/>
          <w:shd w:val="clear" w:color="auto" w:fill="FFFFFF"/>
          <w:lang w:val="es-ES_tradnl"/>
        </w:rPr>
        <w:t xml:space="preserve">ún la Comisión de Derechos Humanos del Senado, </w:t>
      </w:r>
      <w:r w:rsidR="000911EB" w:rsidRPr="0052028E">
        <w:rPr>
          <w:rFonts w:ascii="Times New Roman" w:eastAsia="Times New Roman" w:hAnsi="Times New Roman" w:cs="Times New Roman"/>
          <w:color w:val="222222"/>
          <w:shd w:val="clear" w:color="auto" w:fill="FFFFFF"/>
          <w:lang w:val="es-ES_tradnl"/>
        </w:rPr>
        <w:t>el Boletín No. 10.035-17 modifica el objetivo de la ley, enfatizando que su propósito es el de prevenir y eliminar—y no meramente sancionar— la discriminación.</w:t>
      </w:r>
      <w:r w:rsidR="000911EB" w:rsidRPr="000911EB">
        <w:rPr>
          <w:rFonts w:ascii="Times New Roman" w:eastAsia="Times New Roman" w:hAnsi="Times New Roman" w:cs="Times New Roman"/>
          <w:color w:val="222222"/>
          <w:shd w:val="clear" w:color="auto" w:fill="FFFFFF"/>
          <w:lang w:val="es-ES_tradnl"/>
        </w:rPr>
        <w:t xml:space="preserve"> </w:t>
      </w:r>
      <w:r w:rsidR="000911EB" w:rsidRPr="0052028E">
        <w:rPr>
          <w:rFonts w:ascii="Times New Roman" w:eastAsia="Times New Roman" w:hAnsi="Times New Roman" w:cs="Times New Roman"/>
          <w:color w:val="222222"/>
          <w:shd w:val="clear" w:color="auto" w:fill="FFFFFF"/>
          <w:lang w:val="es-ES_tradnl"/>
        </w:rPr>
        <w:t>As</w:t>
      </w:r>
      <w:r w:rsidR="00403E96">
        <w:rPr>
          <w:rFonts w:ascii="Times New Roman" w:eastAsia="Times New Roman" w:hAnsi="Times New Roman" w:cs="Times New Roman"/>
          <w:color w:val="222222"/>
          <w:shd w:val="clear" w:color="auto" w:fill="FFFFFF"/>
          <w:lang w:val="es-ES_tradnl"/>
        </w:rPr>
        <w:t xml:space="preserve">í mismo, el proyecto de ley busca reescribir el parágrafo 3 del Artículo 2, en donde está contenida la </w:t>
      </w:r>
      <w:r w:rsidR="000911EB" w:rsidRPr="0052028E">
        <w:rPr>
          <w:rFonts w:ascii="Times New Roman" w:eastAsia="Times New Roman" w:hAnsi="Times New Roman" w:cs="Times New Roman"/>
          <w:color w:val="222222"/>
          <w:shd w:val="clear" w:color="auto" w:fill="FFFFFF"/>
          <w:lang w:val="es-ES_tradnl"/>
        </w:rPr>
        <w:t>excepción que pone las discriminaciones arbitrarias por debajo de los derechos fundamentales contemplados en el Artículo 19 de la Constitución</w:t>
      </w:r>
      <w:r w:rsidR="00403E96" w:rsidRPr="0052028E">
        <w:rPr>
          <w:rStyle w:val="Refdenotaalpie"/>
          <w:rFonts w:ascii="Times New Roman" w:eastAsia="Times New Roman" w:hAnsi="Times New Roman" w:cs="Times New Roman"/>
          <w:color w:val="222222"/>
          <w:shd w:val="clear" w:color="auto" w:fill="FFFFFF"/>
          <w:lang w:val="es-ES_tradnl"/>
        </w:rPr>
        <w:footnoteReference w:id="6"/>
      </w:r>
      <w:r w:rsidR="00403E96">
        <w:rPr>
          <w:rFonts w:ascii="Times New Roman" w:eastAsia="Times New Roman" w:hAnsi="Times New Roman" w:cs="Times New Roman"/>
          <w:color w:val="222222"/>
          <w:shd w:val="clear" w:color="auto" w:fill="FFFFFF"/>
          <w:lang w:val="es-ES_tradnl"/>
        </w:rPr>
        <w:t>.</w:t>
      </w:r>
    </w:p>
    <w:p w14:paraId="411FBF67" w14:textId="77777777" w:rsidR="00723D28" w:rsidRPr="0052028E" w:rsidRDefault="00723D28" w:rsidP="002F243C">
      <w:pPr>
        <w:jc w:val="both"/>
        <w:rPr>
          <w:rFonts w:ascii="Times New Roman" w:eastAsia="Times New Roman" w:hAnsi="Times New Roman" w:cs="Times New Roman"/>
          <w:color w:val="222222"/>
          <w:shd w:val="clear" w:color="auto" w:fill="FFFFFF"/>
          <w:lang w:val="es-ES_tradnl"/>
        </w:rPr>
      </w:pPr>
    </w:p>
    <w:p w14:paraId="6E5911D2" w14:textId="7E7188F6" w:rsidR="005526C5" w:rsidRDefault="00FD0567" w:rsidP="00550803">
      <w:pPr>
        <w:jc w:val="both"/>
        <w:rPr>
          <w:rFonts w:ascii="Times New Roman" w:eastAsia="Times New Roman" w:hAnsi="Times New Roman" w:cs="Times New Roman"/>
          <w:color w:val="222222"/>
          <w:shd w:val="clear" w:color="auto" w:fill="FFFFFF"/>
          <w:lang w:val="es-ES_tradnl"/>
        </w:rPr>
      </w:pPr>
      <w:r w:rsidRPr="0052028E">
        <w:rPr>
          <w:rFonts w:ascii="Times New Roman" w:eastAsia="Times New Roman" w:hAnsi="Times New Roman" w:cs="Times New Roman"/>
          <w:color w:val="222222"/>
          <w:shd w:val="clear" w:color="auto" w:fill="FFFFFF"/>
          <w:lang w:val="es-ES_tradnl"/>
        </w:rPr>
        <w:t xml:space="preserve">Sin embargo, </w:t>
      </w:r>
      <w:r w:rsidR="00403E96">
        <w:rPr>
          <w:rFonts w:ascii="Times New Roman" w:eastAsia="Times New Roman" w:hAnsi="Times New Roman" w:cs="Times New Roman"/>
          <w:color w:val="222222"/>
          <w:shd w:val="clear" w:color="auto" w:fill="FFFFFF"/>
          <w:lang w:val="es-ES_tradnl"/>
        </w:rPr>
        <w:t xml:space="preserve">algunas de las reformas planteadas en el </w:t>
      </w:r>
      <w:r w:rsidRPr="0052028E">
        <w:rPr>
          <w:rFonts w:ascii="Times New Roman" w:eastAsia="Times New Roman" w:hAnsi="Times New Roman" w:cs="Times New Roman"/>
          <w:color w:val="222222"/>
          <w:shd w:val="clear" w:color="auto" w:fill="FFFFFF"/>
          <w:lang w:val="es-ES_tradnl"/>
        </w:rPr>
        <w:t xml:space="preserve"> </w:t>
      </w:r>
      <w:r w:rsidR="00403E96" w:rsidRPr="0052028E">
        <w:rPr>
          <w:rFonts w:ascii="Times New Roman" w:eastAsia="Times New Roman" w:hAnsi="Times New Roman" w:cs="Times New Roman"/>
          <w:color w:val="222222"/>
          <w:shd w:val="clear" w:color="auto" w:fill="FFFFFF"/>
          <w:lang w:val="es-ES_tradnl"/>
        </w:rPr>
        <w:t>Boletín No. 10.035-17</w:t>
      </w:r>
      <w:r w:rsidR="00403E96">
        <w:rPr>
          <w:rFonts w:ascii="Times New Roman" w:eastAsia="Times New Roman" w:hAnsi="Times New Roman" w:cs="Times New Roman"/>
          <w:color w:val="222222"/>
          <w:shd w:val="clear" w:color="auto" w:fill="FFFFFF"/>
          <w:lang w:val="es-ES_tradnl"/>
        </w:rPr>
        <w:t xml:space="preserve"> podrían tener efectos adversos frente a las protecciones contra la discriminación para NNA LGBT. Por ejemplo, e</w:t>
      </w:r>
      <w:r w:rsidR="007A3AE8" w:rsidRPr="0052028E">
        <w:rPr>
          <w:rFonts w:ascii="Times New Roman" w:eastAsia="Times New Roman" w:hAnsi="Times New Roman" w:cs="Times New Roman"/>
          <w:color w:val="222222"/>
          <w:shd w:val="clear" w:color="auto" w:fill="FFFFFF"/>
          <w:lang w:val="es-ES_tradnl"/>
        </w:rPr>
        <w:t>l parágrafo 9 del preám</w:t>
      </w:r>
      <w:r w:rsidR="00A1007C" w:rsidRPr="0052028E">
        <w:rPr>
          <w:rFonts w:ascii="Times New Roman" w:eastAsia="Times New Roman" w:hAnsi="Times New Roman" w:cs="Times New Roman"/>
          <w:color w:val="222222"/>
          <w:shd w:val="clear" w:color="auto" w:fill="FFFFFF"/>
          <w:lang w:val="es-ES_tradnl"/>
        </w:rPr>
        <w:t>bulo del Boletín No. 10.035-17</w:t>
      </w:r>
      <w:r w:rsidR="00550803" w:rsidRPr="0052028E">
        <w:rPr>
          <w:rStyle w:val="Refdenotaalpie"/>
          <w:rFonts w:ascii="Times New Roman" w:eastAsia="Times New Roman" w:hAnsi="Times New Roman" w:cs="Times New Roman"/>
          <w:color w:val="222222"/>
          <w:shd w:val="clear" w:color="auto" w:fill="FFFFFF"/>
          <w:lang w:val="es-ES_tradnl"/>
        </w:rPr>
        <w:footnoteReference w:id="7"/>
      </w:r>
      <w:r w:rsidR="00A1007C" w:rsidRPr="0052028E">
        <w:rPr>
          <w:rFonts w:ascii="Times New Roman" w:eastAsia="Times New Roman" w:hAnsi="Times New Roman" w:cs="Times New Roman"/>
          <w:color w:val="222222"/>
          <w:shd w:val="clear" w:color="auto" w:fill="FFFFFF"/>
          <w:lang w:val="es-ES_tradnl"/>
        </w:rPr>
        <w:t xml:space="preserve"> </w:t>
      </w:r>
      <w:r w:rsidR="007C4EE9">
        <w:rPr>
          <w:rFonts w:ascii="Times New Roman" w:eastAsia="Times New Roman" w:hAnsi="Times New Roman" w:cs="Times New Roman"/>
          <w:color w:val="222222"/>
          <w:shd w:val="clear" w:color="auto" w:fill="FFFFFF"/>
          <w:lang w:val="es-ES_tradnl"/>
        </w:rPr>
        <w:t>busca eliminar “exclusiones” y “restricciones” de las categorías que constituyen discrimina</w:t>
      </w:r>
      <w:r w:rsidR="006F251B">
        <w:rPr>
          <w:rFonts w:ascii="Times New Roman" w:eastAsia="Times New Roman" w:hAnsi="Times New Roman" w:cs="Times New Roman"/>
          <w:color w:val="222222"/>
          <w:shd w:val="clear" w:color="auto" w:fill="FFFFFF"/>
          <w:lang w:val="es-ES_tradnl"/>
        </w:rPr>
        <w:t xml:space="preserve">ciones. El parágrafo explica que éstas categorías complican y limitan la interpretación de la noción de discriminación arbitraria en lugar de expandirla. Plantea, entonces, que la definición de discriminación arbitraria debe ser simplificada </w:t>
      </w:r>
      <w:r w:rsidR="005526C5">
        <w:rPr>
          <w:rFonts w:ascii="Times New Roman" w:eastAsia="Times New Roman" w:hAnsi="Times New Roman" w:cs="Times New Roman"/>
          <w:color w:val="222222"/>
          <w:shd w:val="clear" w:color="auto" w:fill="FFFFFF"/>
          <w:lang w:val="es-ES_tradnl"/>
        </w:rPr>
        <w:t xml:space="preserve">puesto que </w:t>
      </w:r>
      <w:r w:rsidR="006F251B">
        <w:rPr>
          <w:rFonts w:ascii="Times New Roman" w:eastAsia="Times New Roman" w:hAnsi="Times New Roman" w:cs="Times New Roman"/>
          <w:color w:val="222222"/>
          <w:shd w:val="clear" w:color="auto" w:fill="FFFFFF"/>
          <w:lang w:val="es-ES_tradnl"/>
        </w:rPr>
        <w:t>“…</w:t>
      </w:r>
      <w:r w:rsidR="005526C5" w:rsidRPr="005526C5">
        <w:rPr>
          <w:rFonts w:ascii="Times New Roman" w:hAnsi="Times New Roman"/>
          <w:lang w:val="es-ES_tradnl"/>
        </w:rPr>
        <w:t>la creación de diversas categorías puede ser una fuente de problemas de calificación jurídica, tanto para las partes como para el juez.</w:t>
      </w:r>
      <w:r w:rsidR="005526C5">
        <w:rPr>
          <w:rFonts w:ascii="Times New Roman" w:hAnsi="Times New Roman"/>
          <w:lang w:val="es-ES_tradnl"/>
        </w:rPr>
        <w:t>”</w:t>
      </w:r>
      <w:r w:rsidR="005526C5">
        <w:rPr>
          <w:rStyle w:val="Refdenotaalpie"/>
          <w:rFonts w:ascii="Times New Roman" w:hAnsi="Times New Roman"/>
          <w:lang w:val="es-ES_tradnl"/>
        </w:rPr>
        <w:footnoteReference w:id="8"/>
      </w:r>
      <w:r w:rsidR="005526C5">
        <w:rPr>
          <w:rFonts w:ascii="Times New Roman" w:hAnsi="Times New Roman"/>
          <w:lang w:val="es-ES_tradnl"/>
        </w:rPr>
        <w:t xml:space="preserve"> Si bien </w:t>
      </w:r>
      <w:r w:rsidR="005526C5" w:rsidRPr="0052028E">
        <w:rPr>
          <w:rFonts w:ascii="Times New Roman" w:eastAsia="Times New Roman" w:hAnsi="Times New Roman" w:cs="Times New Roman"/>
          <w:color w:val="222222"/>
          <w:shd w:val="clear" w:color="auto" w:fill="FFFFFF"/>
          <w:lang w:val="es-ES_tradnl"/>
        </w:rPr>
        <w:t>definir e incorporar la noción de la discriminación arbitraria indirecta es un aspecto positivo</w:t>
      </w:r>
      <w:r w:rsidR="005526C5">
        <w:rPr>
          <w:rFonts w:ascii="Times New Roman" w:eastAsia="Times New Roman" w:hAnsi="Times New Roman" w:cs="Times New Roman"/>
          <w:color w:val="222222"/>
          <w:shd w:val="clear" w:color="auto" w:fill="FFFFFF"/>
          <w:lang w:val="es-ES_tradnl"/>
        </w:rPr>
        <w:t xml:space="preserve"> del Boletín </w:t>
      </w:r>
      <w:r w:rsidR="005526C5" w:rsidRPr="0052028E">
        <w:rPr>
          <w:rFonts w:ascii="Times New Roman" w:eastAsia="Times New Roman" w:hAnsi="Times New Roman" w:cs="Times New Roman"/>
          <w:color w:val="222222"/>
          <w:shd w:val="clear" w:color="auto" w:fill="FFFFFF"/>
          <w:lang w:val="es-ES_tradnl"/>
        </w:rPr>
        <w:t xml:space="preserve">No. 10.035-17, </w:t>
      </w:r>
      <w:r w:rsidR="005526C5">
        <w:rPr>
          <w:rFonts w:ascii="Times New Roman" w:eastAsia="Times New Roman" w:hAnsi="Times New Roman" w:cs="Times New Roman"/>
          <w:color w:val="222222"/>
          <w:shd w:val="clear" w:color="auto" w:fill="FFFFFF"/>
          <w:lang w:val="es-ES_tradnl"/>
        </w:rPr>
        <w:t xml:space="preserve">las organizaciones de la sociedad civil han </w:t>
      </w:r>
      <w:r w:rsidR="00D35244">
        <w:rPr>
          <w:rFonts w:ascii="Times New Roman" w:eastAsia="Times New Roman" w:hAnsi="Times New Roman" w:cs="Times New Roman"/>
          <w:color w:val="222222"/>
          <w:shd w:val="clear" w:color="auto" w:fill="FFFFFF"/>
          <w:lang w:val="es-ES_tradnl"/>
        </w:rPr>
        <w:t xml:space="preserve">manifestado su preocupación porque </w:t>
      </w:r>
      <w:r w:rsidR="005526C5">
        <w:rPr>
          <w:rFonts w:ascii="Times New Roman" w:eastAsia="Times New Roman" w:hAnsi="Times New Roman" w:cs="Times New Roman"/>
          <w:color w:val="222222"/>
          <w:shd w:val="clear" w:color="auto" w:fill="FFFFFF"/>
          <w:lang w:val="es-ES_tradnl"/>
        </w:rPr>
        <w:t xml:space="preserve">la omisión de “exclusiones” y “restricciones” dentro de la </w:t>
      </w:r>
      <w:r w:rsidR="00D35244">
        <w:rPr>
          <w:rFonts w:ascii="Times New Roman" w:eastAsia="Times New Roman" w:hAnsi="Times New Roman" w:cs="Times New Roman"/>
          <w:color w:val="222222"/>
          <w:shd w:val="clear" w:color="auto" w:fill="FFFFFF"/>
          <w:lang w:val="es-ES_tradnl"/>
        </w:rPr>
        <w:t>definición de discriminación arbitraria puede limitar el alcance de la LAD yy su aplicabilidad para individuos que sean víctimas de discriminación basada en su orientación sexual o identidad de género.</w:t>
      </w:r>
      <w:r w:rsidR="00D35244" w:rsidRPr="00D35244">
        <w:rPr>
          <w:rStyle w:val="Refdenotaalpie"/>
          <w:rFonts w:ascii="Times New Roman" w:eastAsia="Times New Roman" w:hAnsi="Times New Roman" w:cs="Times New Roman"/>
          <w:color w:val="222222"/>
          <w:shd w:val="clear" w:color="auto" w:fill="FFFFFF"/>
          <w:lang w:val="es-ES_tradnl"/>
        </w:rPr>
        <w:t xml:space="preserve"> </w:t>
      </w:r>
      <w:r w:rsidR="00D35244" w:rsidRPr="0052028E">
        <w:rPr>
          <w:rStyle w:val="Refdenotaalpie"/>
          <w:rFonts w:ascii="Times New Roman" w:eastAsia="Times New Roman" w:hAnsi="Times New Roman" w:cs="Times New Roman"/>
          <w:color w:val="222222"/>
          <w:shd w:val="clear" w:color="auto" w:fill="FFFFFF"/>
          <w:lang w:val="es-ES_tradnl"/>
        </w:rPr>
        <w:footnoteReference w:id="9"/>
      </w:r>
    </w:p>
    <w:p w14:paraId="74AF55BC" w14:textId="77777777" w:rsidR="001A7DEF" w:rsidRPr="0052028E" w:rsidRDefault="001A7DEF">
      <w:pPr>
        <w:rPr>
          <w:rFonts w:ascii="Times New Roman" w:hAnsi="Times New Roman" w:cs="Times New Roman"/>
        </w:rPr>
      </w:pPr>
    </w:p>
    <w:p w14:paraId="1C78C661" w14:textId="5F467F77" w:rsidR="001E619A" w:rsidRPr="0052028E" w:rsidRDefault="00B956C1" w:rsidP="002F243C">
      <w:pPr>
        <w:widowControl w:val="0"/>
        <w:autoSpaceDE w:val="0"/>
        <w:autoSpaceDN w:val="0"/>
        <w:adjustRightInd w:val="0"/>
        <w:jc w:val="both"/>
        <w:rPr>
          <w:rFonts w:ascii="Times New Roman" w:hAnsi="Times New Roman" w:cs="Times New Roman"/>
          <w:lang w:val="es-ES"/>
        </w:rPr>
      </w:pPr>
      <w:r>
        <w:rPr>
          <w:rFonts w:ascii="Times New Roman" w:eastAsia="Times New Roman" w:hAnsi="Times New Roman" w:cs="Times New Roman"/>
          <w:color w:val="222222"/>
          <w:shd w:val="clear" w:color="auto" w:fill="FFFFFF"/>
          <w:lang w:val="es-ES_tradnl"/>
        </w:rPr>
        <w:t>En este sentido, e</w:t>
      </w:r>
      <w:r w:rsidR="00D35244">
        <w:rPr>
          <w:rFonts w:ascii="Times New Roman" w:eastAsia="Times New Roman" w:hAnsi="Times New Roman" w:cs="Times New Roman"/>
          <w:color w:val="222222"/>
          <w:shd w:val="clear" w:color="auto" w:fill="FFFFFF"/>
          <w:lang w:val="es-ES_tradnl"/>
        </w:rPr>
        <w:t>n</w:t>
      </w:r>
      <w:r w:rsidR="001A7DEF" w:rsidRPr="0052028E">
        <w:rPr>
          <w:rFonts w:ascii="Times New Roman" w:eastAsia="Times New Roman" w:hAnsi="Times New Roman" w:cs="Times New Roman"/>
          <w:color w:val="222222"/>
          <w:shd w:val="clear" w:color="auto" w:fill="FFFFFF"/>
          <w:lang w:val="es-ES_tradnl"/>
        </w:rPr>
        <w:t xml:space="preserve"> sus Observaciones Finales</w:t>
      </w:r>
      <w:r w:rsidR="00484C8F" w:rsidRPr="0052028E">
        <w:rPr>
          <w:rFonts w:ascii="Times New Roman" w:eastAsia="Times New Roman" w:hAnsi="Times New Roman" w:cs="Times New Roman"/>
          <w:color w:val="222222"/>
          <w:shd w:val="clear" w:color="auto" w:fill="FFFFFF"/>
          <w:lang w:val="es-ES_tradnl"/>
        </w:rPr>
        <w:t xml:space="preserve"> del año 2007</w:t>
      </w:r>
      <w:r w:rsidR="001A7DEF" w:rsidRPr="0052028E">
        <w:rPr>
          <w:rFonts w:ascii="Times New Roman" w:eastAsia="Times New Roman" w:hAnsi="Times New Roman" w:cs="Times New Roman"/>
          <w:color w:val="222222"/>
          <w:shd w:val="clear" w:color="auto" w:fill="FFFFFF"/>
          <w:lang w:val="es-ES_tradnl"/>
        </w:rPr>
        <w:t>, el Comité recomendó al Estado parte que “</w:t>
      </w:r>
      <w:r w:rsidR="001A7DEF" w:rsidRPr="0052028E">
        <w:rPr>
          <w:rFonts w:ascii="Times New Roman" w:hAnsi="Times New Roman" w:cs="Times New Roman"/>
          <w:lang w:val="es-ES"/>
        </w:rPr>
        <w:t>intensifique sus esfuerzos para examinar, supervisar y hacer cumplir la legislación que garantice el principio de no discriminación y el pleno cumplimiento del artículo 2 de la Convención, y que adopte una estrategia proactiva e integral para eliminar la discriminación por motivos de género, étnicos, religiosos o por cualquier otro motivo, y contra todos los grupos vulnerables en todo el país.”</w:t>
      </w:r>
      <w:r w:rsidR="001A7DEF" w:rsidRPr="0052028E">
        <w:rPr>
          <w:rStyle w:val="Refdenotaalpie"/>
          <w:rFonts w:ascii="Times New Roman" w:hAnsi="Times New Roman" w:cs="Times New Roman"/>
          <w:lang w:val="es-ES"/>
        </w:rPr>
        <w:footnoteReference w:id="10"/>
      </w:r>
      <w:r w:rsidR="001A7DEF" w:rsidRPr="0052028E">
        <w:rPr>
          <w:rFonts w:ascii="Times New Roman" w:hAnsi="Times New Roman" w:cs="Times New Roman"/>
          <w:lang w:val="es-ES"/>
        </w:rPr>
        <w:t xml:space="preserve"> Sin embargo, el boletín No. 20609 no provee una definición comprensiva frente a los órganos del gobierno que deberán encargarse de diseñar, implementar y evaluar que el principio de no-discriminación sea efectivamente aplicado y asegurado. </w:t>
      </w:r>
      <w:r w:rsidR="0022296B" w:rsidRPr="0052028E">
        <w:rPr>
          <w:rFonts w:ascii="Times New Roman" w:hAnsi="Times New Roman" w:cs="Times New Roman"/>
          <w:lang w:val="es-ES"/>
        </w:rPr>
        <w:t xml:space="preserve">Si bien el Boletín No. 10.035-17 hace referencia a la importancia de incluir una definición de los deberes que deben cumplir órganos específicos del Estado, a fin de diseñar políticas que protejan efectivamente a los y las ciudadanas de toda discriminación, no provee estas definiciones de manera específica. </w:t>
      </w:r>
    </w:p>
    <w:p w14:paraId="3EF1AC2D" w14:textId="74F6DB0C" w:rsidR="00916E7C" w:rsidRPr="0052028E" w:rsidRDefault="004915F7" w:rsidP="004915F7">
      <w:pPr>
        <w:pStyle w:val="Ttulo2"/>
        <w:rPr>
          <w:rFonts w:ascii="Times New Roman" w:hAnsi="Times New Roman" w:cs="Times New Roman"/>
          <w:color w:val="000000" w:themeColor="text1"/>
          <w:lang w:val="es-ES"/>
        </w:rPr>
      </w:pPr>
      <w:bookmarkStart w:id="4" w:name="_Toc298099161"/>
      <w:r w:rsidRPr="0052028E">
        <w:rPr>
          <w:rFonts w:ascii="Times New Roman" w:hAnsi="Times New Roman" w:cs="Times New Roman"/>
          <w:color w:val="000000" w:themeColor="text1"/>
          <w:lang w:val="es-ES"/>
        </w:rPr>
        <w:t xml:space="preserve">2. </w:t>
      </w:r>
      <w:r w:rsidR="00916E7C" w:rsidRPr="0052028E">
        <w:rPr>
          <w:rFonts w:ascii="Times New Roman" w:hAnsi="Times New Roman" w:cs="Times New Roman"/>
          <w:color w:val="000000" w:themeColor="text1"/>
          <w:lang w:val="es-ES"/>
        </w:rPr>
        <w:t>Los oficiales públ</w:t>
      </w:r>
      <w:r w:rsidR="0071596B" w:rsidRPr="0052028E">
        <w:rPr>
          <w:rFonts w:ascii="Times New Roman" w:hAnsi="Times New Roman" w:cs="Times New Roman"/>
          <w:color w:val="000000" w:themeColor="text1"/>
          <w:lang w:val="es-ES"/>
        </w:rPr>
        <w:t>icos a nivel nacional y regional deben recibir educación y capacitaciones adecuadas.</w:t>
      </w:r>
      <w:bookmarkEnd w:id="4"/>
      <w:r w:rsidR="0071596B" w:rsidRPr="0052028E">
        <w:rPr>
          <w:rFonts w:ascii="Times New Roman" w:hAnsi="Times New Roman" w:cs="Times New Roman"/>
          <w:color w:val="000000" w:themeColor="text1"/>
          <w:lang w:val="es-ES"/>
        </w:rPr>
        <w:t xml:space="preserve"> </w:t>
      </w:r>
    </w:p>
    <w:p w14:paraId="4BC969A3" w14:textId="77777777" w:rsidR="003E7E31" w:rsidRPr="0052028E" w:rsidRDefault="003E7E31" w:rsidP="0071596B">
      <w:pPr>
        <w:widowControl w:val="0"/>
        <w:autoSpaceDE w:val="0"/>
        <w:autoSpaceDN w:val="0"/>
        <w:adjustRightInd w:val="0"/>
        <w:ind w:left="360"/>
        <w:jc w:val="both"/>
        <w:rPr>
          <w:rFonts w:ascii="Times New Roman" w:hAnsi="Times New Roman" w:cs="Times New Roman"/>
          <w:u w:val="single"/>
          <w:lang w:val="es-ES"/>
        </w:rPr>
      </w:pPr>
    </w:p>
    <w:p w14:paraId="0C925254" w14:textId="477D5113" w:rsidR="003E7E31" w:rsidRPr="0052028E" w:rsidRDefault="003E7E31" w:rsidP="003E7E31">
      <w:pPr>
        <w:jc w:val="both"/>
        <w:rPr>
          <w:rFonts w:ascii="Times New Roman" w:hAnsi="Times New Roman" w:cs="Times New Roman"/>
          <w:lang w:val="es-ES_tradnl"/>
        </w:rPr>
      </w:pPr>
      <w:r w:rsidRPr="0052028E">
        <w:rPr>
          <w:rFonts w:ascii="Times New Roman" w:hAnsi="Times New Roman" w:cs="Times New Roman"/>
          <w:lang w:val="es-ES"/>
        </w:rPr>
        <w:t xml:space="preserve">La decisión de la CoIDH en el </w:t>
      </w:r>
      <w:r w:rsidRPr="0052028E">
        <w:rPr>
          <w:rFonts w:ascii="Times New Roman" w:hAnsi="Times New Roman" w:cs="Times New Roman"/>
          <w:i/>
          <w:lang w:val="es-ES"/>
        </w:rPr>
        <w:t>Caso Atala Riffo y Niñas Vs. Chile</w:t>
      </w:r>
      <w:r w:rsidR="00A409A5" w:rsidRPr="0052028E">
        <w:rPr>
          <w:rStyle w:val="Refdenotaalpie"/>
          <w:rFonts w:ascii="Times New Roman" w:hAnsi="Times New Roman" w:cs="Times New Roman"/>
          <w:lang w:val="es-ES"/>
        </w:rPr>
        <w:footnoteReference w:id="11"/>
      </w:r>
      <w:r w:rsidRPr="0052028E">
        <w:rPr>
          <w:rFonts w:ascii="Times New Roman" w:hAnsi="Times New Roman" w:cs="Times New Roman"/>
          <w:lang w:val="es-ES"/>
        </w:rPr>
        <w:t xml:space="preserve"> contempló la </w:t>
      </w:r>
      <w:r w:rsidR="00A409A5" w:rsidRPr="0052028E">
        <w:rPr>
          <w:rFonts w:ascii="Times New Roman" w:hAnsi="Times New Roman" w:cs="Times New Roman"/>
          <w:lang w:val="es-ES"/>
        </w:rPr>
        <w:t>urgente</w:t>
      </w:r>
      <w:r w:rsidRPr="0052028E">
        <w:rPr>
          <w:rFonts w:ascii="Times New Roman" w:hAnsi="Times New Roman" w:cs="Times New Roman"/>
          <w:lang w:val="es-ES"/>
        </w:rPr>
        <w:t xml:space="preserve"> necesidad de educar y capacitar permanentemente a los funcionarios públicos del Estado</w:t>
      </w:r>
      <w:r w:rsidR="00A409A5" w:rsidRPr="0052028E">
        <w:rPr>
          <w:rFonts w:ascii="Times New Roman" w:hAnsi="Times New Roman" w:cs="Times New Roman"/>
          <w:lang w:val="es-ES"/>
        </w:rPr>
        <w:t xml:space="preserve"> y </w:t>
      </w:r>
      <w:r w:rsidR="00A409A5" w:rsidRPr="0052028E">
        <w:rPr>
          <w:rFonts w:ascii="Times New Roman" w:eastAsia="Times New Roman" w:hAnsi="Times New Roman" w:cs="Times New Roman"/>
          <w:lang w:val="es-ES_tradnl"/>
        </w:rPr>
        <w:t>especialmente a los funcionarios judiciales de todo nivel</w:t>
      </w:r>
      <w:r w:rsidR="00A409A5" w:rsidRPr="0052028E">
        <w:rPr>
          <w:rStyle w:val="Refdenotaalpie"/>
          <w:rFonts w:ascii="Times New Roman" w:hAnsi="Times New Roman" w:cs="Times New Roman"/>
          <w:lang w:val="es-ES"/>
        </w:rPr>
        <w:t xml:space="preserve"> </w:t>
      </w:r>
      <w:r w:rsidRPr="0052028E">
        <w:rPr>
          <w:rFonts w:ascii="Times New Roman" w:hAnsi="Times New Roman" w:cs="Times New Roman"/>
          <w:lang w:val="es-ES"/>
        </w:rPr>
        <w:t xml:space="preserve"> </w:t>
      </w:r>
      <w:r w:rsidR="00A409A5" w:rsidRPr="0052028E">
        <w:rPr>
          <w:rFonts w:ascii="Times New Roman" w:hAnsi="Times New Roman" w:cs="Times New Roman"/>
          <w:lang w:val="es-ES"/>
        </w:rPr>
        <w:t xml:space="preserve">a fin de abordar la discriminación --incluyendo la discriminación en contra de niños, niñas y adolescentes LGBTI--, en todas las instituciones públicas.  </w:t>
      </w:r>
      <w:r w:rsidRPr="0052028E">
        <w:rPr>
          <w:rFonts w:ascii="Times New Roman" w:hAnsi="Times New Roman" w:cs="Times New Roman"/>
          <w:lang w:val="es-ES"/>
        </w:rPr>
        <w:t xml:space="preserve">Dentro de las exigencias para garantizar la no-repetición, la CoIDH ordenó medidas dirigidas a la capacitación de oficiales públicos en torno a:  </w:t>
      </w:r>
      <w:r w:rsidRPr="0052028E">
        <w:rPr>
          <w:rFonts w:ascii="Times New Roman" w:hAnsi="Times New Roman" w:cs="Times New Roman"/>
          <w:lang w:val="es-ES_tradnl"/>
        </w:rPr>
        <w:t>“i) derechos humanos, orientación sexual y no discriminación; ii) protección de los derechos de la comunidad LGBTI, y iii) discriminación, superación de estereotipos de género en contra de la población LGTBI. Los cursos deben estar dirigido a funcionarios públicos a nivel regional y nacional, y particularmente a funcionarios judiciales de todas las áreas y escalafones de la rama judicial.”</w:t>
      </w:r>
      <w:r w:rsidRPr="0052028E">
        <w:rPr>
          <w:rStyle w:val="Refdenotaalpie"/>
          <w:rFonts w:ascii="Times New Roman" w:hAnsi="Times New Roman" w:cs="Times New Roman"/>
          <w:lang w:val="es-ES_tradnl"/>
        </w:rPr>
        <w:footnoteReference w:id="12"/>
      </w:r>
      <w:r w:rsidRPr="0052028E">
        <w:rPr>
          <w:rFonts w:ascii="Times New Roman" w:hAnsi="Times New Roman" w:cs="Times New Roman"/>
          <w:lang w:val="es-ES_tradnl"/>
        </w:rPr>
        <w:t xml:space="preserve"> </w:t>
      </w:r>
    </w:p>
    <w:p w14:paraId="38928BFA" w14:textId="77777777" w:rsidR="00593BE3" w:rsidRPr="0052028E" w:rsidRDefault="00593BE3" w:rsidP="00593BE3">
      <w:pPr>
        <w:widowControl w:val="0"/>
        <w:autoSpaceDE w:val="0"/>
        <w:autoSpaceDN w:val="0"/>
        <w:adjustRightInd w:val="0"/>
        <w:jc w:val="both"/>
        <w:rPr>
          <w:rFonts w:ascii="Times New Roman" w:hAnsi="Times New Roman" w:cs="Times New Roman"/>
          <w:lang w:val="es-ES_tradnl"/>
        </w:rPr>
      </w:pPr>
    </w:p>
    <w:p w14:paraId="78123A88" w14:textId="439BD64F" w:rsidR="001A7DEF" w:rsidRPr="0052028E" w:rsidRDefault="00593BE3" w:rsidP="00FB2BF6">
      <w:pPr>
        <w:widowControl w:val="0"/>
        <w:autoSpaceDE w:val="0"/>
        <w:autoSpaceDN w:val="0"/>
        <w:adjustRightInd w:val="0"/>
        <w:jc w:val="both"/>
        <w:rPr>
          <w:rFonts w:ascii="Times New Roman" w:hAnsi="Times New Roman" w:cs="Times New Roman"/>
          <w:lang w:val="es-ES_tradnl"/>
        </w:rPr>
      </w:pPr>
      <w:r w:rsidRPr="0052028E">
        <w:rPr>
          <w:rFonts w:ascii="Times New Roman" w:hAnsi="Times New Roman" w:cs="Times New Roman"/>
          <w:lang w:val="es-ES_tradnl"/>
        </w:rPr>
        <w:t>En 2013, el Estado de Chile informó a la CoIDH que el Ministerio de Justicia había pasado un proyecto de ley mediante el cual buscaba crear una Su</w:t>
      </w:r>
      <w:r w:rsidR="00A409A5" w:rsidRPr="0052028E">
        <w:rPr>
          <w:rFonts w:ascii="Times New Roman" w:hAnsi="Times New Roman" w:cs="Times New Roman"/>
          <w:lang w:val="es-ES_tradnl"/>
        </w:rPr>
        <w:t xml:space="preserve">bsecretaría de Derechos Humanos. Esta </w:t>
      </w:r>
      <w:r w:rsidRPr="0052028E">
        <w:rPr>
          <w:rFonts w:ascii="Times New Roman" w:hAnsi="Times New Roman" w:cs="Times New Roman"/>
          <w:lang w:val="es-ES_tradnl"/>
        </w:rPr>
        <w:t>estaría encargada de promover y proteger los derechos humanos, así como también de diseñar e implementar políticas públicas.</w:t>
      </w:r>
      <w:r w:rsidRPr="0052028E">
        <w:rPr>
          <w:rStyle w:val="Refdenotaalpie"/>
          <w:rFonts w:ascii="Times New Roman" w:hAnsi="Times New Roman" w:cs="Times New Roman"/>
          <w:lang w:val="es-ES_tradnl"/>
        </w:rPr>
        <w:footnoteReference w:id="13"/>
      </w:r>
      <w:r w:rsidRPr="0052028E">
        <w:rPr>
          <w:rFonts w:ascii="Times New Roman" w:hAnsi="Times New Roman" w:cs="Times New Roman"/>
          <w:lang w:val="es-ES_tradnl"/>
        </w:rPr>
        <w:t xml:space="preserve"> Aunque el proyecto debía haber sido aprobado hacia finales del 2013, el Senado lo aprobó hasta Enero de 2014. A la fecha, la Subsecretaría de Derechos Humanos no ha sido creada.</w:t>
      </w:r>
      <w:r w:rsidR="00762F7D" w:rsidRPr="0052028E">
        <w:rPr>
          <w:rStyle w:val="Refdenotaalpie"/>
          <w:rFonts w:ascii="Times New Roman" w:hAnsi="Times New Roman" w:cs="Times New Roman"/>
          <w:lang w:val="es-ES_tradnl"/>
        </w:rPr>
        <w:footnoteReference w:id="14"/>
      </w:r>
    </w:p>
    <w:p w14:paraId="6E5C7867" w14:textId="3D3E4B01" w:rsidR="001A7DEF" w:rsidRPr="0052028E" w:rsidRDefault="004915F7" w:rsidP="004915F7">
      <w:pPr>
        <w:pStyle w:val="Ttulo2"/>
        <w:rPr>
          <w:rFonts w:ascii="Times New Roman" w:hAnsi="Times New Roman" w:cs="Times New Roman"/>
          <w:color w:val="000000" w:themeColor="text1"/>
          <w:lang w:val="es-ES_tradnl"/>
        </w:rPr>
      </w:pPr>
      <w:bookmarkStart w:id="5" w:name="_Toc298099162"/>
      <w:r w:rsidRPr="0052028E">
        <w:rPr>
          <w:rFonts w:ascii="Times New Roman" w:hAnsi="Times New Roman" w:cs="Times New Roman"/>
          <w:color w:val="000000" w:themeColor="text1"/>
          <w:lang w:val="es-ES_tradnl"/>
        </w:rPr>
        <w:t xml:space="preserve">3. </w:t>
      </w:r>
      <w:r w:rsidR="001A7DEF" w:rsidRPr="0052028E">
        <w:rPr>
          <w:rFonts w:ascii="Times New Roman" w:hAnsi="Times New Roman" w:cs="Times New Roman"/>
          <w:color w:val="000000" w:themeColor="text1"/>
          <w:lang w:val="es-ES_tradnl"/>
        </w:rPr>
        <w:t>El Código Penal criminaliza la expresión de la orientación sexua</w:t>
      </w:r>
      <w:r w:rsidR="00593BE3" w:rsidRPr="0052028E">
        <w:rPr>
          <w:rFonts w:ascii="Times New Roman" w:hAnsi="Times New Roman" w:cs="Times New Roman"/>
          <w:color w:val="000000" w:themeColor="text1"/>
          <w:lang w:val="es-ES_tradnl"/>
        </w:rPr>
        <w:t>l de hombres gay y bisexuales (Artículos 2, 3, 6 y 12)</w:t>
      </w:r>
      <w:bookmarkEnd w:id="5"/>
    </w:p>
    <w:p w14:paraId="6C83F124" w14:textId="77777777" w:rsidR="001A7DEF" w:rsidRPr="0052028E" w:rsidRDefault="001A7DEF" w:rsidP="001A7DEF">
      <w:pPr>
        <w:rPr>
          <w:rFonts w:ascii="Times New Roman" w:eastAsia="Times New Roman" w:hAnsi="Times New Roman" w:cs="Times New Roman"/>
          <w:lang w:val="es-ES_tradnl"/>
        </w:rPr>
      </w:pPr>
    </w:p>
    <w:p w14:paraId="7F22457A" w14:textId="28CC519E" w:rsidR="005D096F" w:rsidRPr="0052028E" w:rsidRDefault="001A7DEF" w:rsidP="00593D50">
      <w:pPr>
        <w:jc w:val="both"/>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 xml:space="preserve">En </w:t>
      </w:r>
      <w:r w:rsidR="00484C8F" w:rsidRPr="0052028E">
        <w:rPr>
          <w:rFonts w:ascii="Times New Roman" w:eastAsia="Times New Roman" w:hAnsi="Times New Roman" w:cs="Times New Roman"/>
          <w:lang w:val="es-ES_tradnl"/>
        </w:rPr>
        <w:t>las</w:t>
      </w:r>
      <w:r w:rsidRPr="0052028E">
        <w:rPr>
          <w:rFonts w:ascii="Times New Roman" w:eastAsia="Times New Roman" w:hAnsi="Times New Roman" w:cs="Times New Roman"/>
          <w:lang w:val="es-ES_tradnl"/>
        </w:rPr>
        <w:t xml:space="preserve"> Observaciones Finales</w:t>
      </w:r>
      <w:r w:rsidR="00484C8F" w:rsidRPr="0052028E">
        <w:rPr>
          <w:rFonts w:ascii="Times New Roman" w:eastAsia="Times New Roman" w:hAnsi="Times New Roman" w:cs="Times New Roman"/>
          <w:lang w:val="es-ES_tradnl"/>
        </w:rPr>
        <w:t xml:space="preserve"> del año 2007 sobre Chile</w:t>
      </w:r>
      <w:r w:rsidRPr="0052028E">
        <w:rPr>
          <w:rFonts w:ascii="Times New Roman" w:eastAsia="Times New Roman" w:hAnsi="Times New Roman" w:cs="Times New Roman"/>
          <w:lang w:val="es-ES_tradnl"/>
        </w:rPr>
        <w:t xml:space="preserve">, el Comité expresó </w:t>
      </w:r>
      <w:r w:rsidR="00484C8F" w:rsidRPr="0052028E">
        <w:rPr>
          <w:rFonts w:ascii="Times New Roman" w:eastAsia="Times New Roman" w:hAnsi="Times New Roman" w:cs="Times New Roman"/>
          <w:lang w:val="es-ES_tradnl"/>
        </w:rPr>
        <w:t xml:space="preserve">su </w:t>
      </w:r>
      <w:r w:rsidRPr="0052028E">
        <w:rPr>
          <w:rFonts w:ascii="Times New Roman" w:eastAsia="Times New Roman" w:hAnsi="Times New Roman" w:cs="Times New Roman"/>
          <w:lang w:val="es-ES_tradnl"/>
        </w:rPr>
        <w:t xml:space="preserve">preocupación por la continuación de la penalización de relaciones homosexuales entre personas menores de 18 años de edad, pues esta “supone una discriminación sobre la base de preferencia sexual”. </w:t>
      </w:r>
      <w:r w:rsidRPr="0052028E">
        <w:rPr>
          <w:rStyle w:val="Refdenotaalpie"/>
          <w:rFonts w:ascii="Times New Roman" w:eastAsia="Times New Roman" w:hAnsi="Times New Roman" w:cs="Times New Roman"/>
          <w:lang w:val="es-ES_tradnl"/>
        </w:rPr>
        <w:footnoteReference w:id="15"/>
      </w:r>
      <w:r w:rsidRPr="0052028E">
        <w:rPr>
          <w:rFonts w:ascii="Times New Roman" w:eastAsia="Times New Roman" w:hAnsi="Times New Roman" w:cs="Times New Roman"/>
          <w:lang w:val="es-ES_tradnl"/>
        </w:rPr>
        <w:t xml:space="preserve"> </w:t>
      </w:r>
      <w:r w:rsidR="00F90716" w:rsidRPr="0052028E">
        <w:rPr>
          <w:rFonts w:ascii="Times New Roman" w:eastAsia="Times New Roman" w:hAnsi="Times New Roman" w:cs="Times New Roman"/>
          <w:lang w:val="es-ES_tradnl"/>
        </w:rPr>
        <w:t>Esta observación hace referencia al</w:t>
      </w:r>
      <w:r w:rsidRPr="0052028E">
        <w:rPr>
          <w:rFonts w:ascii="Times New Roman" w:eastAsia="Times New Roman" w:hAnsi="Times New Roman" w:cs="Times New Roman"/>
          <w:lang w:val="es-ES_tradnl"/>
        </w:rPr>
        <w:t xml:space="preserve"> artículo 365 del código penal chileno</w:t>
      </w:r>
      <w:r w:rsidR="00F90716" w:rsidRPr="0052028E">
        <w:rPr>
          <w:rFonts w:ascii="Times New Roman" w:eastAsia="Times New Roman" w:hAnsi="Times New Roman" w:cs="Times New Roman"/>
          <w:lang w:val="es-ES_tradnl"/>
        </w:rPr>
        <w:t>. El artículo</w:t>
      </w:r>
      <w:r w:rsidRPr="0052028E">
        <w:rPr>
          <w:rFonts w:ascii="Times New Roman" w:eastAsia="Times New Roman" w:hAnsi="Times New Roman" w:cs="Times New Roman"/>
          <w:lang w:val="es-ES_tradnl"/>
        </w:rPr>
        <w:t xml:space="preserve"> establece una distinción en las edades de consentimiento para tener relaciones sexuales</w:t>
      </w:r>
      <w:r w:rsidR="00F90716" w:rsidRPr="0052028E">
        <w:rPr>
          <w:rFonts w:ascii="Times New Roman" w:eastAsia="Times New Roman" w:hAnsi="Times New Roman" w:cs="Times New Roman"/>
          <w:lang w:val="es-ES_tradnl"/>
        </w:rPr>
        <w:t xml:space="preserve"> que está basada en una discriminación por orientación sexual: mientras que la edad de consentimiento para tener relaciones sexuales para heterosexuales está fijada a los 14 años, para homosexuales está fijada a los 18 años de edad. Más aún,  </w:t>
      </w:r>
      <w:r w:rsidRPr="0052028E">
        <w:rPr>
          <w:rFonts w:ascii="Times New Roman" w:eastAsia="Times New Roman" w:hAnsi="Times New Roman" w:cs="Times New Roman"/>
          <w:lang w:val="es-ES_tradnl"/>
        </w:rPr>
        <w:t>afirma que las relaciones sexuales entre homosexuales serán penalizados con reclusión en grado mínimo o medio. El 4 de enero de 2011, una sentencia emitida por el Tribunal Constitucional especificó que las sanciones, en estos casos, sólo apli</w:t>
      </w:r>
      <w:r w:rsidR="005D096F" w:rsidRPr="0052028E">
        <w:rPr>
          <w:rFonts w:ascii="Times New Roman" w:eastAsia="Times New Roman" w:hAnsi="Times New Roman" w:cs="Times New Roman"/>
          <w:lang w:val="es-ES_tradnl"/>
        </w:rPr>
        <w:t>can a los hombres homosexuales.</w:t>
      </w:r>
      <w:r w:rsidR="005D096F" w:rsidRPr="0052028E">
        <w:rPr>
          <w:rStyle w:val="Refdenotaalpie"/>
          <w:rFonts w:ascii="Times New Roman" w:eastAsia="Times New Roman" w:hAnsi="Times New Roman" w:cs="Times New Roman"/>
          <w:lang w:val="es-ES_tradnl"/>
        </w:rPr>
        <w:footnoteReference w:id="16"/>
      </w:r>
    </w:p>
    <w:p w14:paraId="358B4A0B" w14:textId="77777777" w:rsidR="005D096F" w:rsidRPr="0052028E" w:rsidRDefault="005D096F" w:rsidP="00593D50">
      <w:pPr>
        <w:jc w:val="both"/>
        <w:rPr>
          <w:rFonts w:ascii="Times New Roman" w:eastAsia="Times New Roman" w:hAnsi="Times New Roman" w:cs="Times New Roman"/>
          <w:lang w:val="es-ES_tradnl"/>
        </w:rPr>
      </w:pPr>
    </w:p>
    <w:p w14:paraId="0E113CEA" w14:textId="5A47C495" w:rsidR="005D096F" w:rsidRPr="0052028E" w:rsidRDefault="0015741E" w:rsidP="0015741E">
      <w:pPr>
        <w:jc w:val="both"/>
        <w:rPr>
          <w:rFonts w:ascii="Times New Roman" w:eastAsia="Times New Roman" w:hAnsi="Times New Roman" w:cs="Times New Roman"/>
          <w:lang w:val="es-ES_tradnl"/>
        </w:rPr>
      </w:pPr>
      <w:r>
        <w:rPr>
          <w:rFonts w:ascii="Times New Roman" w:eastAsia="Times New Roman" w:hAnsi="Times New Roman" w:cs="Times New Roman"/>
          <w:lang w:val="es-ES_tradnl"/>
        </w:rPr>
        <w:t>A</w:t>
      </w:r>
      <w:r w:rsidR="001A7DEF" w:rsidRPr="0052028E">
        <w:rPr>
          <w:rFonts w:ascii="Times New Roman" w:eastAsia="Times New Roman" w:hAnsi="Times New Roman" w:cs="Times New Roman"/>
          <w:lang w:val="es-ES_tradnl"/>
        </w:rPr>
        <w:t xml:space="preserve"> pesar de los grandes esfuerzos de la sociedad civil que abogan por </w:t>
      </w:r>
      <w:r>
        <w:rPr>
          <w:rFonts w:ascii="Times New Roman" w:eastAsia="Times New Roman" w:hAnsi="Times New Roman" w:cs="Times New Roman"/>
          <w:lang w:val="es-ES_tradnl"/>
        </w:rPr>
        <w:t>la urgente reforma al Código Penal, éste artículo no ha sido modificado</w:t>
      </w:r>
      <w:r w:rsidR="001A7DEF" w:rsidRPr="0052028E">
        <w:rPr>
          <w:rFonts w:ascii="Times New Roman" w:eastAsia="Times New Roman" w:hAnsi="Times New Roman" w:cs="Times New Roman"/>
          <w:lang w:val="es-ES_tradnl"/>
        </w:rPr>
        <w:t xml:space="preserve">. </w:t>
      </w:r>
    </w:p>
    <w:p w14:paraId="197A2CD6" w14:textId="0E4D5B4D" w:rsidR="005D096F" w:rsidRPr="0052028E" w:rsidRDefault="00260DCB" w:rsidP="004915F7">
      <w:pPr>
        <w:pStyle w:val="Ttulo2"/>
        <w:rPr>
          <w:rFonts w:ascii="Times New Roman" w:hAnsi="Times New Roman" w:cs="Times New Roman"/>
          <w:color w:val="000000" w:themeColor="text1"/>
          <w:lang w:val="es-ES_tradnl"/>
        </w:rPr>
      </w:pPr>
      <w:bookmarkStart w:id="6" w:name="_Toc298099163"/>
      <w:r w:rsidRPr="0052028E">
        <w:rPr>
          <w:rFonts w:ascii="Times New Roman" w:hAnsi="Times New Roman" w:cs="Times New Roman"/>
          <w:color w:val="000000" w:themeColor="text1"/>
          <w:lang w:val="es-ES_tradnl"/>
        </w:rPr>
        <w:t>4.</w:t>
      </w:r>
      <w:r w:rsidR="0015741E">
        <w:rPr>
          <w:rFonts w:ascii="Times New Roman" w:hAnsi="Times New Roman" w:cs="Times New Roman"/>
          <w:color w:val="000000" w:themeColor="text1"/>
          <w:lang w:val="es-ES_tradnl"/>
        </w:rPr>
        <w:t xml:space="preserve"> </w:t>
      </w:r>
      <w:r w:rsidR="00B132B8" w:rsidRPr="0052028E">
        <w:rPr>
          <w:rFonts w:ascii="Times New Roman" w:hAnsi="Times New Roman" w:cs="Times New Roman"/>
          <w:color w:val="000000" w:themeColor="text1"/>
          <w:lang w:val="es-ES_tradnl"/>
        </w:rPr>
        <w:t>Falta de protección a los n</w:t>
      </w:r>
      <w:r w:rsidRPr="0052028E">
        <w:rPr>
          <w:rFonts w:ascii="Times New Roman" w:hAnsi="Times New Roman" w:cs="Times New Roman"/>
          <w:color w:val="000000" w:themeColor="text1"/>
          <w:lang w:val="es-ES_tradnl"/>
        </w:rPr>
        <w:t xml:space="preserve">iños, niñas y adolescentes LGBT </w:t>
      </w:r>
      <w:r w:rsidR="005D096F" w:rsidRPr="0052028E">
        <w:rPr>
          <w:rFonts w:ascii="Times New Roman" w:hAnsi="Times New Roman" w:cs="Times New Roman"/>
          <w:color w:val="000000" w:themeColor="text1"/>
          <w:lang w:val="es-ES_tradnl"/>
        </w:rPr>
        <w:t>(Artículos 2, 3, 6 y 12)</w:t>
      </w:r>
      <w:bookmarkEnd w:id="6"/>
    </w:p>
    <w:p w14:paraId="4FF077BE" w14:textId="77777777" w:rsidR="005D096F" w:rsidRPr="0052028E" w:rsidRDefault="005D096F" w:rsidP="005D096F">
      <w:pPr>
        <w:rPr>
          <w:rFonts w:ascii="Times New Roman" w:eastAsia="Times New Roman" w:hAnsi="Times New Roman" w:cs="Times New Roman"/>
          <w:sz w:val="20"/>
          <w:szCs w:val="20"/>
          <w:lang w:val="es-ES_tradnl"/>
        </w:rPr>
      </w:pPr>
    </w:p>
    <w:p w14:paraId="48B46446" w14:textId="2B5A2B95" w:rsidR="0015741E" w:rsidRPr="008161BE" w:rsidRDefault="00C80A94" w:rsidP="00B23757">
      <w:pPr>
        <w:widowControl w:val="0"/>
        <w:autoSpaceDE w:val="0"/>
        <w:autoSpaceDN w:val="0"/>
        <w:adjustRightInd w:val="0"/>
        <w:jc w:val="both"/>
        <w:rPr>
          <w:rFonts w:ascii="Times New Roman" w:hAnsi="Times New Roman" w:cs="Times New Roman"/>
          <w:sz w:val="20"/>
          <w:szCs w:val="20"/>
          <w:lang w:val="es-ES"/>
        </w:rPr>
      </w:pPr>
      <w:r w:rsidRPr="0052028E">
        <w:rPr>
          <w:rFonts w:ascii="Times New Roman" w:eastAsia="Times New Roman" w:hAnsi="Times New Roman" w:cs="Times New Roman"/>
          <w:lang w:val="es-ES_tradnl"/>
        </w:rPr>
        <w:t>En el Comentario General No. 13, el Comité señala que toda violencia contra niños, niñas y adolescentes se puede prevenir y nunca es justificable.</w:t>
      </w:r>
      <w:r w:rsidR="003865BF" w:rsidRPr="0052028E">
        <w:rPr>
          <w:rStyle w:val="Refdenotaalpie"/>
          <w:rFonts w:ascii="Times New Roman" w:eastAsia="Times New Roman" w:hAnsi="Times New Roman" w:cs="Times New Roman"/>
          <w:lang w:val="es-ES_tradnl"/>
        </w:rPr>
        <w:footnoteReference w:id="17"/>
      </w:r>
      <w:r w:rsidRPr="0052028E">
        <w:rPr>
          <w:rFonts w:ascii="Times New Roman" w:eastAsia="Times New Roman" w:hAnsi="Times New Roman" w:cs="Times New Roman"/>
          <w:lang w:val="es-ES_tradnl"/>
        </w:rPr>
        <w:t xml:space="preserve"> </w:t>
      </w:r>
      <w:r w:rsidR="00005F87" w:rsidRPr="0052028E">
        <w:rPr>
          <w:rFonts w:ascii="Times New Roman" w:eastAsia="Times New Roman" w:hAnsi="Times New Roman" w:cs="Times New Roman"/>
          <w:lang w:val="es-ES_tradnl"/>
        </w:rPr>
        <w:t xml:space="preserve">Con relación al artículo 6, el Comentario General No. 13 indica que </w:t>
      </w:r>
      <w:r w:rsidR="00005F87">
        <w:rPr>
          <w:rFonts w:ascii="Times New Roman" w:eastAsia="Times New Roman" w:hAnsi="Times New Roman" w:cs="Times New Roman"/>
          <w:lang w:val="es-ES_tradnl"/>
        </w:rPr>
        <w:t xml:space="preserve">la protección contra toda forma de violencia engloba no solo el derecho a la vida y </w:t>
      </w:r>
      <w:r w:rsidR="008161BE">
        <w:rPr>
          <w:rFonts w:ascii="Times New Roman" w:eastAsia="Times New Roman" w:hAnsi="Times New Roman" w:cs="Times New Roman"/>
          <w:lang w:val="es-ES_tradnl"/>
        </w:rPr>
        <w:t>a la supervivencia; la protección debe plantearse</w:t>
      </w:r>
      <w:r w:rsidR="00005F87">
        <w:rPr>
          <w:rFonts w:ascii="Times New Roman" w:eastAsia="Times New Roman" w:hAnsi="Times New Roman" w:cs="Times New Roman"/>
          <w:lang w:val="es-ES_tradnl"/>
        </w:rPr>
        <w:t xml:space="preserve"> desde el </w:t>
      </w:r>
      <w:r w:rsidR="008161BE">
        <w:rPr>
          <w:rFonts w:ascii="Times New Roman" w:eastAsia="Times New Roman" w:hAnsi="Times New Roman" w:cs="Times New Roman"/>
          <w:lang w:val="es-ES_tradnl"/>
        </w:rPr>
        <w:t>derecho al</w:t>
      </w:r>
      <w:r w:rsidR="00005F87">
        <w:rPr>
          <w:rFonts w:ascii="Times New Roman" w:eastAsia="Times New Roman" w:hAnsi="Times New Roman" w:cs="Times New Roman"/>
          <w:lang w:val="es-ES_tradnl"/>
        </w:rPr>
        <w:t xml:space="preserve"> desarrollo de </w:t>
      </w:r>
      <w:r w:rsidR="008161BE">
        <w:rPr>
          <w:rFonts w:ascii="Times New Roman" w:eastAsia="Times New Roman" w:hAnsi="Times New Roman" w:cs="Times New Roman"/>
          <w:lang w:val="es-ES_tradnl"/>
        </w:rPr>
        <w:t xml:space="preserve">todo </w:t>
      </w:r>
      <w:r w:rsidR="00005F87">
        <w:rPr>
          <w:rFonts w:ascii="Times New Roman" w:eastAsia="Times New Roman" w:hAnsi="Times New Roman" w:cs="Times New Roman"/>
          <w:lang w:val="es-ES_tradnl"/>
        </w:rPr>
        <w:t>NNA</w:t>
      </w:r>
      <w:r w:rsidR="008161BE">
        <w:rPr>
          <w:rFonts w:ascii="Times New Roman" w:eastAsia="Times New Roman" w:hAnsi="Times New Roman" w:cs="Times New Roman"/>
          <w:lang w:val="es-ES_tradnl"/>
        </w:rPr>
        <w:t xml:space="preserve">. El Comité interpreta el desarrollo como un concepto holístico, </w:t>
      </w:r>
      <w:r w:rsidR="00005F87">
        <w:rPr>
          <w:rFonts w:ascii="Times New Roman" w:eastAsia="Times New Roman" w:hAnsi="Times New Roman" w:cs="Times New Roman"/>
          <w:lang w:val="es-ES_tradnl"/>
        </w:rPr>
        <w:t xml:space="preserve"> </w:t>
      </w:r>
      <w:r w:rsidR="008161BE">
        <w:rPr>
          <w:rFonts w:ascii="Times New Roman" w:eastAsia="Times New Roman" w:hAnsi="Times New Roman" w:cs="Times New Roman"/>
          <w:lang w:val="es-ES_tradnl"/>
        </w:rPr>
        <w:t xml:space="preserve">en el cual se abarcan </w:t>
      </w:r>
      <w:r w:rsidR="008161BE" w:rsidRPr="008161BE">
        <w:rPr>
          <w:rFonts w:ascii="Times New Roman" w:eastAsia="Times New Roman" w:hAnsi="Times New Roman" w:cs="Times New Roman"/>
          <w:lang w:val="es-ES_tradnl"/>
        </w:rPr>
        <w:t>“</w:t>
      </w:r>
      <w:r w:rsidR="008161BE" w:rsidRPr="008161BE">
        <w:rPr>
          <w:rFonts w:ascii="Times New Roman" w:hAnsi="Times New Roman" w:cs="Times New Roman"/>
          <w:lang w:val="es-ES"/>
        </w:rPr>
        <w:t>el desarrollo físico, mental, espiritual, moral, psicológico y social del niño.</w:t>
      </w:r>
      <w:r w:rsidR="008161BE">
        <w:rPr>
          <w:rFonts w:ascii="Times New Roman" w:hAnsi="Times New Roman" w:cs="Times New Roman"/>
          <w:lang w:val="es-ES"/>
        </w:rPr>
        <w:t>”</w:t>
      </w:r>
      <w:r w:rsidR="00005F87" w:rsidRPr="0052028E">
        <w:rPr>
          <w:rStyle w:val="Refdenotaalpie"/>
          <w:rFonts w:ascii="Times New Roman" w:eastAsia="Times New Roman" w:hAnsi="Times New Roman" w:cs="Times New Roman"/>
          <w:lang w:val="es-ES_tradnl"/>
        </w:rPr>
        <w:footnoteReference w:id="18"/>
      </w:r>
      <w:r w:rsidR="008161BE">
        <w:rPr>
          <w:rFonts w:ascii="Times New Roman" w:hAnsi="Times New Roman" w:cs="Times New Roman"/>
          <w:lang w:val="es-ES"/>
        </w:rPr>
        <w:t xml:space="preserve"> La implementación del Artículo 6, bajo esta mira, implica medidas que apunten a garantizar el desarrollo óptimo de NNA.</w:t>
      </w:r>
      <w:r w:rsidR="008161BE" w:rsidRPr="008161BE">
        <w:rPr>
          <w:rStyle w:val="Refdenotaalpie"/>
          <w:rFonts w:ascii="Times New Roman" w:eastAsia="Times New Roman" w:hAnsi="Times New Roman" w:cs="Times New Roman"/>
          <w:lang w:val="es-ES_tradnl"/>
        </w:rPr>
        <w:t xml:space="preserve"> </w:t>
      </w:r>
      <w:r w:rsidR="008161BE" w:rsidRPr="0052028E">
        <w:rPr>
          <w:rStyle w:val="Refdenotaalpie"/>
          <w:rFonts w:ascii="Times New Roman" w:eastAsia="Times New Roman" w:hAnsi="Times New Roman" w:cs="Times New Roman"/>
          <w:lang w:val="es-ES_tradnl"/>
        </w:rPr>
        <w:footnoteReference w:id="19"/>
      </w:r>
      <w:r w:rsidR="008161BE" w:rsidRPr="0052028E">
        <w:rPr>
          <w:rFonts w:ascii="Times New Roman" w:eastAsia="Times New Roman" w:hAnsi="Times New Roman" w:cs="Times New Roman"/>
          <w:lang w:val="es-ES_tradnl"/>
        </w:rPr>
        <w:t xml:space="preserve"> </w:t>
      </w:r>
      <w:r w:rsidR="008161BE">
        <w:rPr>
          <w:rFonts w:ascii="Times New Roman" w:hAnsi="Times New Roman" w:cs="Times New Roman"/>
          <w:lang w:val="es-ES"/>
        </w:rPr>
        <w:t xml:space="preserve"> </w:t>
      </w:r>
    </w:p>
    <w:p w14:paraId="06C1FFF0" w14:textId="77777777" w:rsidR="000B02E0" w:rsidRPr="0052028E" w:rsidRDefault="000B02E0" w:rsidP="00B23757">
      <w:pPr>
        <w:jc w:val="both"/>
        <w:rPr>
          <w:rFonts w:ascii="Times New Roman" w:eastAsia="Times New Roman" w:hAnsi="Times New Roman" w:cs="Times New Roman"/>
          <w:lang w:val="es-ES_tradnl"/>
        </w:rPr>
      </w:pPr>
    </w:p>
    <w:p w14:paraId="6789C3D9" w14:textId="47B20E30" w:rsidR="005D096F" w:rsidRPr="0052028E" w:rsidRDefault="005D096F" w:rsidP="00FB2BF6">
      <w:pPr>
        <w:jc w:val="both"/>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En un estudio comparativo</w:t>
      </w:r>
      <w:r w:rsidR="00C80A94" w:rsidRPr="0052028E">
        <w:rPr>
          <w:rFonts w:ascii="Times New Roman" w:eastAsia="Times New Roman" w:hAnsi="Times New Roman" w:cs="Times New Roman"/>
          <w:lang w:val="es-ES_tradnl"/>
        </w:rPr>
        <w:t xml:space="preserve"> del año 2012</w:t>
      </w:r>
      <w:r w:rsidRPr="0052028E">
        <w:rPr>
          <w:rFonts w:ascii="Times New Roman" w:eastAsia="Times New Roman" w:hAnsi="Times New Roman" w:cs="Times New Roman"/>
          <w:lang w:val="es-ES_tradnl"/>
        </w:rPr>
        <w:t xml:space="preserve">, la </w:t>
      </w:r>
      <w:r w:rsidR="008161BE">
        <w:rPr>
          <w:rFonts w:ascii="Times New Roman" w:eastAsia="Times New Roman" w:hAnsi="Times New Roman" w:cs="Times New Roman"/>
          <w:lang w:val="es-ES_tradnl"/>
        </w:rPr>
        <w:t>Organización de las Naciones Unidas para la Educación, la Ciencia y la Cultura (</w:t>
      </w:r>
      <w:r w:rsidRPr="0052028E">
        <w:rPr>
          <w:rFonts w:ascii="Times New Roman" w:eastAsia="Times New Roman" w:hAnsi="Times New Roman" w:cs="Times New Roman"/>
          <w:lang w:val="es-ES_tradnl"/>
        </w:rPr>
        <w:t>UNESCO</w:t>
      </w:r>
      <w:r w:rsidR="008161BE">
        <w:rPr>
          <w:rFonts w:ascii="Times New Roman" w:eastAsia="Times New Roman" w:hAnsi="Times New Roman" w:cs="Times New Roman"/>
          <w:lang w:val="es-ES_tradnl"/>
        </w:rPr>
        <w:t>)</w:t>
      </w:r>
      <w:r w:rsidRPr="0052028E">
        <w:rPr>
          <w:rFonts w:ascii="Times New Roman" w:eastAsia="Times New Roman" w:hAnsi="Times New Roman" w:cs="Times New Roman"/>
          <w:lang w:val="es-ES_tradnl"/>
        </w:rPr>
        <w:t xml:space="preserve"> clasificó a Chile como el país latinoamericano que presenta el más alto porcentaje de </w:t>
      </w:r>
      <w:r w:rsidRPr="0052028E">
        <w:rPr>
          <w:rFonts w:ascii="Times New Roman" w:eastAsia="Times New Roman" w:hAnsi="Times New Roman" w:cs="Times New Roman"/>
          <w:i/>
          <w:lang w:val="es-ES_tradnl"/>
        </w:rPr>
        <w:t>bullying</w:t>
      </w:r>
      <w:r w:rsidRPr="0052028E">
        <w:rPr>
          <w:rFonts w:ascii="Times New Roman" w:eastAsia="Times New Roman" w:hAnsi="Times New Roman" w:cs="Times New Roman"/>
          <w:lang w:val="es-ES_tradnl"/>
        </w:rPr>
        <w:t xml:space="preserve"> contra estudiantes LGBTI, afirmando que el 68% han sido víctimas de agresiones en razón de su orientación sexual o identidad de género.</w:t>
      </w:r>
      <w:r w:rsidRPr="0052028E">
        <w:rPr>
          <w:rStyle w:val="Refdenotaalpie"/>
          <w:rFonts w:ascii="Times New Roman" w:eastAsia="Times New Roman" w:hAnsi="Times New Roman" w:cs="Times New Roman"/>
          <w:lang w:val="es-ES_tradnl"/>
        </w:rPr>
        <w:footnoteReference w:id="20"/>
      </w:r>
      <w:r w:rsidR="00C80A94" w:rsidRPr="0052028E">
        <w:rPr>
          <w:rFonts w:ascii="Times New Roman" w:eastAsia="Times New Roman" w:hAnsi="Times New Roman" w:cs="Times New Roman"/>
          <w:lang w:val="es-ES_tradnl"/>
        </w:rPr>
        <w:t xml:space="preserve"> Más aún, un informe sobre la salud de las personas transgénero del año 2013 encontró que </w:t>
      </w:r>
      <w:r w:rsidR="009A4099" w:rsidRPr="0052028E">
        <w:rPr>
          <w:rFonts w:ascii="Times New Roman" w:eastAsia="Times New Roman" w:hAnsi="Times New Roman" w:cs="Times New Roman"/>
          <w:lang w:val="es-ES_tradnl"/>
        </w:rPr>
        <w:t xml:space="preserve">en Chile, </w:t>
      </w:r>
      <w:r w:rsidR="00C80A94" w:rsidRPr="0052028E">
        <w:rPr>
          <w:rFonts w:ascii="Times New Roman" w:eastAsia="Times New Roman" w:hAnsi="Times New Roman" w:cs="Times New Roman"/>
          <w:lang w:val="es-ES_tradnl"/>
        </w:rPr>
        <w:t xml:space="preserve">el 50% de ésta población </w:t>
      </w:r>
      <w:r w:rsidR="009A4099" w:rsidRPr="0052028E">
        <w:rPr>
          <w:rFonts w:ascii="Times New Roman" w:eastAsia="Times New Roman" w:hAnsi="Times New Roman" w:cs="Times New Roman"/>
          <w:lang w:val="es-ES_tradnl"/>
        </w:rPr>
        <w:t xml:space="preserve">ha intentado </w:t>
      </w:r>
      <w:r w:rsidR="00D01E55" w:rsidRPr="0052028E">
        <w:rPr>
          <w:rFonts w:ascii="Times New Roman" w:eastAsia="Times New Roman" w:hAnsi="Times New Roman" w:cs="Times New Roman"/>
          <w:lang w:val="es-ES_tradnl"/>
        </w:rPr>
        <w:t>suicidarse y el 87.5% ha sufrido de depresión.</w:t>
      </w:r>
      <w:r w:rsidR="00D01E55" w:rsidRPr="0052028E">
        <w:rPr>
          <w:rStyle w:val="Refdenotaalpie"/>
          <w:rFonts w:ascii="Times New Roman" w:eastAsia="Times New Roman" w:hAnsi="Times New Roman" w:cs="Times New Roman"/>
          <w:lang w:val="es-ES_tradnl"/>
        </w:rPr>
        <w:footnoteReference w:id="21"/>
      </w:r>
      <w:r w:rsidR="00D01E55" w:rsidRPr="0052028E">
        <w:rPr>
          <w:rFonts w:ascii="Times New Roman" w:eastAsia="Times New Roman" w:hAnsi="Times New Roman" w:cs="Times New Roman"/>
          <w:lang w:val="es-ES_tradnl"/>
        </w:rPr>
        <w:t xml:space="preserve"> En un informe del 2013, el Ministerio de Salud (Minsal) reconoció que los niños, niñas y adolescentes LGBT son más proclives a presentar ideas o a cometer intentos de suicidio. El informe clarifica que la “aceptación” social y el apoyo constituyen factores de protección.</w:t>
      </w:r>
      <w:r w:rsidR="00D01E55" w:rsidRPr="0052028E">
        <w:rPr>
          <w:rStyle w:val="Refdenotaalpie"/>
          <w:rFonts w:ascii="Times New Roman" w:eastAsia="Times New Roman" w:hAnsi="Times New Roman" w:cs="Times New Roman"/>
          <w:lang w:val="es-ES_tradnl"/>
        </w:rPr>
        <w:footnoteReference w:id="22"/>
      </w:r>
      <w:r w:rsidR="00D01E55" w:rsidRPr="0052028E">
        <w:rPr>
          <w:rFonts w:ascii="Times New Roman" w:eastAsia="Times New Roman" w:hAnsi="Times New Roman" w:cs="Times New Roman"/>
          <w:lang w:val="es-ES_tradnl"/>
        </w:rPr>
        <w:t xml:space="preserve"> Desde el año 2007, las personas LGBT han ganado visibilidad. Sin embargo, esto también ha desatado el incremento en agresiones basadas en prejuicios y estereotipos nocivos. A pesar de la realidad, en Chile no existen programas </w:t>
      </w:r>
      <w:r w:rsidR="008161BE">
        <w:rPr>
          <w:rFonts w:ascii="Times New Roman" w:eastAsia="Times New Roman" w:hAnsi="Times New Roman" w:cs="Times New Roman"/>
          <w:lang w:val="es-ES_tradnl"/>
        </w:rPr>
        <w:t xml:space="preserve">auspiciados por el gobierno </w:t>
      </w:r>
      <w:r w:rsidR="00D01E55" w:rsidRPr="0052028E">
        <w:rPr>
          <w:rFonts w:ascii="Times New Roman" w:eastAsia="Times New Roman" w:hAnsi="Times New Roman" w:cs="Times New Roman"/>
          <w:lang w:val="es-ES_tradnl"/>
        </w:rPr>
        <w:t xml:space="preserve">que solucionen la urgente atención a la situación de constante discriminación hacia niños, niñas y adolescentes LGBT en el país. </w:t>
      </w:r>
    </w:p>
    <w:p w14:paraId="79EED649" w14:textId="77777777" w:rsidR="00D01E55" w:rsidRPr="0052028E" w:rsidRDefault="00D01E55" w:rsidP="001A7DEF">
      <w:pPr>
        <w:rPr>
          <w:rFonts w:ascii="Times New Roman" w:eastAsia="Times New Roman" w:hAnsi="Times New Roman" w:cs="Times New Roman"/>
          <w:lang w:val="es-ES_tradnl"/>
        </w:rPr>
      </w:pPr>
    </w:p>
    <w:p w14:paraId="5A9FADAC" w14:textId="1E9C537C" w:rsidR="00D01E55" w:rsidRPr="0052028E" w:rsidRDefault="00D01E55" w:rsidP="00FB2BF6">
      <w:pPr>
        <w:widowControl w:val="0"/>
        <w:autoSpaceDE w:val="0"/>
        <w:autoSpaceDN w:val="0"/>
        <w:adjustRightInd w:val="0"/>
        <w:jc w:val="both"/>
        <w:rPr>
          <w:rFonts w:ascii="Times New Roman" w:hAnsi="Times New Roman" w:cs="Times New Roman"/>
          <w:lang w:val="es-ES"/>
        </w:rPr>
      </w:pPr>
      <w:r w:rsidRPr="0052028E">
        <w:rPr>
          <w:rFonts w:ascii="Times New Roman" w:eastAsia="Times New Roman" w:hAnsi="Times New Roman" w:cs="Times New Roman"/>
          <w:lang w:val="es-ES_tradnl"/>
        </w:rPr>
        <w:t>La necesidad de proteger a los niños, niñas y adolescentes LGBT ante toda discriminación también ha sido referida por el Comité en ocasiones previas.</w:t>
      </w:r>
      <w:r w:rsidRPr="0052028E">
        <w:rPr>
          <w:rStyle w:val="Refdenotaalpie"/>
          <w:rFonts w:ascii="Times New Roman" w:eastAsia="Times New Roman" w:hAnsi="Times New Roman" w:cs="Times New Roman"/>
          <w:lang w:val="es-ES_tradnl"/>
        </w:rPr>
        <w:footnoteReference w:id="23"/>
      </w:r>
      <w:r w:rsidRPr="0052028E">
        <w:rPr>
          <w:rFonts w:ascii="Times New Roman" w:eastAsia="Times New Roman" w:hAnsi="Times New Roman" w:cs="Times New Roman"/>
          <w:lang w:val="es-ES_tradnl"/>
        </w:rPr>
        <w:t xml:space="preserve"> En el caso de Chile, el Comité específicamente pidió que: “</w:t>
      </w:r>
      <w:r w:rsidRPr="0052028E">
        <w:rPr>
          <w:rFonts w:ascii="Times New Roman" w:hAnsi="Times New Roman" w:cs="Times New Roman"/>
          <w:lang w:val="es-ES"/>
        </w:rPr>
        <w:t xml:space="preserve">en su próximo informe periódico el Estado Parte incluya información específica sobre las medidas y los programas pertinentes a la Convención sobre los Derechos del Niño que haya aplicado el Estado Parte para ofrecer una protección especial a los grupos vulnerables” </w:t>
      </w:r>
      <w:r w:rsidRPr="0052028E">
        <w:rPr>
          <w:rStyle w:val="Refdenotaalpie"/>
          <w:rFonts w:ascii="Times New Roman" w:eastAsia="Times New Roman" w:hAnsi="Times New Roman" w:cs="Times New Roman"/>
          <w:lang w:val="es-ES_tradnl"/>
        </w:rPr>
        <w:footnoteReference w:id="24"/>
      </w:r>
      <w:r w:rsidR="00AD2B33" w:rsidRPr="0052028E">
        <w:rPr>
          <w:rFonts w:ascii="Times New Roman" w:hAnsi="Times New Roman" w:cs="Times New Roman"/>
          <w:lang w:val="es-ES"/>
        </w:rPr>
        <w:t xml:space="preserve"> Debido a los insondables niveles de discriminación hacia la niñez y la adolescencia, es necesario que se implementen programas dirigidos en particular hacia la protección y la </w:t>
      </w:r>
      <w:r w:rsidR="007D647B" w:rsidRPr="0052028E">
        <w:rPr>
          <w:rFonts w:ascii="Times New Roman" w:hAnsi="Times New Roman" w:cs="Times New Roman"/>
          <w:lang w:val="es-ES"/>
        </w:rPr>
        <w:t>concientización</w:t>
      </w:r>
      <w:r w:rsidR="00AD2B33" w:rsidRPr="0052028E">
        <w:rPr>
          <w:rFonts w:ascii="Times New Roman" w:hAnsi="Times New Roman" w:cs="Times New Roman"/>
          <w:lang w:val="es-ES"/>
        </w:rPr>
        <w:t xml:space="preserve"> sobre las repercusiones que tienen la discriminación por orientación sexual e identidad de género. Aún así, en el informe presentado por el Estado no incluye referencias dirigidas hacia la población LGBT en específico. </w:t>
      </w:r>
    </w:p>
    <w:p w14:paraId="14F8CD05" w14:textId="77777777" w:rsidR="00AD2B33" w:rsidRPr="0052028E" w:rsidRDefault="00AD2B33" w:rsidP="00FB2BF6">
      <w:pPr>
        <w:widowControl w:val="0"/>
        <w:autoSpaceDE w:val="0"/>
        <w:autoSpaceDN w:val="0"/>
        <w:adjustRightInd w:val="0"/>
        <w:jc w:val="both"/>
        <w:rPr>
          <w:rFonts w:ascii="Times New Roman" w:hAnsi="Times New Roman" w:cs="Times New Roman"/>
          <w:lang w:val="es-ES"/>
        </w:rPr>
      </w:pPr>
    </w:p>
    <w:p w14:paraId="5A93C6E7" w14:textId="0E0272CE" w:rsidR="00726F60" w:rsidRPr="0052028E" w:rsidRDefault="00AD2B33" w:rsidP="005A24C8">
      <w:pPr>
        <w:jc w:val="both"/>
        <w:rPr>
          <w:rFonts w:ascii="Times New Roman" w:eastAsia="Times New Roman" w:hAnsi="Times New Roman" w:cs="Times New Roman"/>
          <w:sz w:val="20"/>
          <w:szCs w:val="20"/>
          <w:lang w:val="es-ES_tradnl"/>
        </w:rPr>
      </w:pPr>
      <w:r w:rsidRPr="0052028E">
        <w:rPr>
          <w:rFonts w:ascii="Times New Roman" w:hAnsi="Times New Roman" w:cs="Times New Roman"/>
          <w:lang w:val="es-ES"/>
        </w:rPr>
        <w:t xml:space="preserve">Para cumplir a cabalidad con la Convención, el Estado debe cumplir con s obligación de proteger y restaurar la dignidad de las niñez y adolescencia LGBT, pues es constantemente fracturada tanto en escenarios públicos como privados. Para este propósito, el Comité es claro en señalar que: </w:t>
      </w:r>
      <w:r w:rsidRPr="0052028E">
        <w:rPr>
          <w:rFonts w:ascii="Times New Roman" w:hAnsi="Times New Roman" w:cs="Times New Roman"/>
          <w:lang w:val="es-ES_tradnl"/>
        </w:rPr>
        <w:t>“</w:t>
      </w:r>
      <w:r w:rsidR="00724AF2" w:rsidRPr="0052028E">
        <w:rPr>
          <w:rFonts w:ascii="Times New Roman" w:eastAsia="Times New Roman" w:hAnsi="Times New Roman" w:cs="Times New Roman"/>
          <w:lang w:val="es-ES_tradnl"/>
        </w:rPr>
        <w:t>El concepto de dignidad exige que cada niño sea reconocido, respetado y protegido como titular de derechos y como ser humano único y valioso con su personalidad propia, sus necesidades específicas, sus intereses y su privacidad.</w:t>
      </w:r>
      <w:r w:rsidRPr="0052028E">
        <w:rPr>
          <w:rFonts w:ascii="Times New Roman" w:hAnsi="Times New Roman" w:cs="Times New Roman"/>
          <w:lang w:val="es-ES_tradnl"/>
        </w:rPr>
        <w:t>”</w:t>
      </w:r>
      <w:r w:rsidRPr="0052028E">
        <w:rPr>
          <w:rStyle w:val="Refdenotaalpie"/>
          <w:rFonts w:ascii="Times New Roman" w:hAnsi="Times New Roman" w:cs="Times New Roman"/>
          <w:lang w:val="es-ES_tradnl"/>
        </w:rPr>
        <w:footnoteReference w:id="25"/>
      </w:r>
    </w:p>
    <w:p w14:paraId="2FAFDFB1" w14:textId="76039FAB" w:rsidR="007A3AE8" w:rsidRPr="00AC72FD" w:rsidRDefault="007A3AE8" w:rsidP="007A3AE8">
      <w:pPr>
        <w:pStyle w:val="Ttulo1"/>
        <w:rPr>
          <w:rFonts w:ascii="Times New Roman" w:hAnsi="Times New Roman" w:cs="Times New Roman"/>
          <w:color w:val="000000" w:themeColor="text1"/>
          <w:sz w:val="28"/>
          <w:szCs w:val="28"/>
          <w:lang w:val="es-ES_tradnl"/>
        </w:rPr>
      </w:pPr>
      <w:bookmarkStart w:id="7" w:name="_Toc298099164"/>
      <w:r w:rsidRPr="00AC72FD">
        <w:rPr>
          <w:rFonts w:ascii="Times New Roman" w:hAnsi="Times New Roman" w:cs="Times New Roman"/>
          <w:color w:val="000000" w:themeColor="text1"/>
          <w:sz w:val="28"/>
          <w:szCs w:val="28"/>
          <w:lang w:val="es-ES_tradnl"/>
        </w:rPr>
        <w:t>Recomendaciones</w:t>
      </w:r>
      <w:bookmarkEnd w:id="7"/>
    </w:p>
    <w:p w14:paraId="09254639" w14:textId="77777777" w:rsidR="007A3AE8" w:rsidRPr="0052028E" w:rsidRDefault="007A3AE8" w:rsidP="001A7DEF">
      <w:pPr>
        <w:rPr>
          <w:rFonts w:ascii="Times New Roman" w:eastAsia="Times New Roman" w:hAnsi="Times New Roman" w:cs="Times New Roman"/>
          <w:lang w:val="es-ES_tradnl"/>
        </w:rPr>
      </w:pPr>
    </w:p>
    <w:p w14:paraId="04114E59" w14:textId="2A0D89B2" w:rsidR="007A3AE8" w:rsidRDefault="007A3AE8" w:rsidP="007A3AE8">
      <w:pPr>
        <w:pStyle w:val="Prrafodelista"/>
        <w:numPr>
          <w:ilvl w:val="0"/>
          <w:numId w:val="12"/>
        </w:numPr>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 xml:space="preserve">Acelerar el paso de </w:t>
      </w:r>
      <w:r w:rsidR="0052028E">
        <w:rPr>
          <w:rFonts w:ascii="Times New Roman" w:eastAsia="Times New Roman" w:hAnsi="Times New Roman" w:cs="Times New Roman"/>
          <w:lang w:val="es-ES_tradnl"/>
        </w:rPr>
        <w:t>las</w:t>
      </w:r>
      <w:r w:rsidRPr="0052028E">
        <w:rPr>
          <w:rFonts w:ascii="Times New Roman" w:eastAsia="Times New Roman" w:hAnsi="Times New Roman" w:cs="Times New Roman"/>
          <w:lang w:val="es-ES_tradnl"/>
        </w:rPr>
        <w:t xml:space="preserve"> reforma</w:t>
      </w:r>
      <w:r w:rsidR="0052028E">
        <w:rPr>
          <w:rFonts w:ascii="Times New Roman" w:eastAsia="Times New Roman" w:hAnsi="Times New Roman" w:cs="Times New Roman"/>
          <w:lang w:val="es-ES_tradnl"/>
        </w:rPr>
        <w:t>s</w:t>
      </w:r>
      <w:r w:rsidRPr="0052028E">
        <w:rPr>
          <w:rFonts w:ascii="Times New Roman" w:eastAsia="Times New Roman" w:hAnsi="Times New Roman" w:cs="Times New Roman"/>
          <w:lang w:val="es-ES_tradnl"/>
        </w:rPr>
        <w:t xml:space="preserve"> a la LAD y asegurar que ésta</w:t>
      </w:r>
      <w:r w:rsidR="0052028E">
        <w:rPr>
          <w:rFonts w:ascii="Times New Roman" w:eastAsia="Times New Roman" w:hAnsi="Times New Roman" w:cs="Times New Roman"/>
          <w:lang w:val="es-ES_tradnl"/>
        </w:rPr>
        <w:t>s</w:t>
      </w:r>
      <w:r w:rsidRPr="0052028E">
        <w:rPr>
          <w:rFonts w:ascii="Times New Roman" w:eastAsia="Times New Roman" w:hAnsi="Times New Roman" w:cs="Times New Roman"/>
          <w:lang w:val="es-ES_tradnl"/>
        </w:rPr>
        <w:t xml:space="preserve"> efectivamente cumple</w:t>
      </w:r>
      <w:r w:rsidR="0052028E">
        <w:rPr>
          <w:rFonts w:ascii="Times New Roman" w:eastAsia="Times New Roman" w:hAnsi="Times New Roman" w:cs="Times New Roman"/>
          <w:lang w:val="es-ES_tradnl"/>
        </w:rPr>
        <w:t>n</w:t>
      </w:r>
      <w:r w:rsidRPr="0052028E">
        <w:rPr>
          <w:rFonts w:ascii="Times New Roman" w:eastAsia="Times New Roman" w:hAnsi="Times New Roman" w:cs="Times New Roman"/>
          <w:lang w:val="es-ES_tradnl"/>
        </w:rPr>
        <w:t xml:space="preserve"> con los estándares internacionales en términos de la prevención, protección y eliminación de la discriminación sin excepciones. </w:t>
      </w:r>
    </w:p>
    <w:p w14:paraId="63302951" w14:textId="77777777" w:rsidR="0052028E" w:rsidRPr="0052028E" w:rsidRDefault="0052028E" w:rsidP="0052028E">
      <w:pPr>
        <w:pStyle w:val="Prrafodelista"/>
        <w:rPr>
          <w:rFonts w:ascii="Times New Roman" w:eastAsia="Times New Roman" w:hAnsi="Times New Roman" w:cs="Times New Roman"/>
          <w:lang w:val="es-ES_tradnl"/>
        </w:rPr>
      </w:pPr>
    </w:p>
    <w:p w14:paraId="2678DD71" w14:textId="53058723" w:rsidR="007A3AE8" w:rsidRDefault="007A3AE8" w:rsidP="007A3AE8">
      <w:pPr>
        <w:pStyle w:val="Prrafodelista"/>
        <w:numPr>
          <w:ilvl w:val="0"/>
          <w:numId w:val="12"/>
        </w:numPr>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Asegurar que la reforma a la LAD incluya una referencia explícita a las categorías protegidas como “identidad de género” y “orientación sexual”</w:t>
      </w:r>
    </w:p>
    <w:p w14:paraId="49ADE171" w14:textId="77777777" w:rsidR="0052028E" w:rsidRPr="0052028E" w:rsidRDefault="0052028E" w:rsidP="0052028E">
      <w:pPr>
        <w:rPr>
          <w:rFonts w:ascii="Times New Roman" w:eastAsia="Times New Roman" w:hAnsi="Times New Roman" w:cs="Times New Roman"/>
          <w:lang w:val="es-ES_tradnl"/>
        </w:rPr>
      </w:pPr>
    </w:p>
    <w:p w14:paraId="161E305F" w14:textId="5F6832E6" w:rsidR="007A3AE8" w:rsidRDefault="00F9276A" w:rsidP="007A3AE8">
      <w:pPr>
        <w:pStyle w:val="Prrafodelista"/>
        <w:numPr>
          <w:ilvl w:val="0"/>
          <w:numId w:val="12"/>
        </w:numPr>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Modificar</w:t>
      </w:r>
      <w:r w:rsidR="007A3AE8" w:rsidRPr="0052028E">
        <w:rPr>
          <w:rFonts w:ascii="Times New Roman" w:eastAsia="Times New Roman" w:hAnsi="Times New Roman" w:cs="Times New Roman"/>
          <w:lang w:val="es-ES_tradnl"/>
        </w:rPr>
        <w:t xml:space="preserve"> el Artículo 365 del Código Penal para asegurar que la edad mínima de consentimiento para tener relaciones sexuales no discrimina a</w:t>
      </w:r>
      <w:r w:rsidR="00DB6728">
        <w:rPr>
          <w:rFonts w:ascii="Times New Roman" w:eastAsia="Times New Roman" w:hAnsi="Times New Roman" w:cs="Times New Roman"/>
          <w:lang w:val="es-ES_tradnl"/>
        </w:rPr>
        <w:t xml:space="preserve"> los adolescentes homosexuales.</w:t>
      </w:r>
    </w:p>
    <w:p w14:paraId="25B170D7" w14:textId="77777777" w:rsidR="0052028E" w:rsidRPr="0052028E" w:rsidRDefault="0052028E" w:rsidP="0052028E">
      <w:pPr>
        <w:rPr>
          <w:rFonts w:ascii="Times New Roman" w:eastAsia="Times New Roman" w:hAnsi="Times New Roman" w:cs="Times New Roman"/>
          <w:lang w:val="es-ES_tradnl"/>
        </w:rPr>
      </w:pPr>
    </w:p>
    <w:p w14:paraId="238DADC9" w14:textId="6A5C9C66" w:rsidR="007A3AE8" w:rsidRDefault="007A3AE8" w:rsidP="007A3AE8">
      <w:pPr>
        <w:pStyle w:val="Prrafodelista"/>
        <w:numPr>
          <w:ilvl w:val="0"/>
          <w:numId w:val="12"/>
        </w:numPr>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Asegurar que se cumpla con</w:t>
      </w:r>
      <w:r w:rsidR="00A1007C" w:rsidRPr="0052028E">
        <w:rPr>
          <w:rFonts w:ascii="Times New Roman" w:eastAsia="Times New Roman" w:hAnsi="Times New Roman" w:cs="Times New Roman"/>
          <w:lang w:val="es-ES_tradnl"/>
        </w:rPr>
        <w:t xml:space="preserve"> </w:t>
      </w:r>
      <w:r w:rsidR="00DB6728">
        <w:rPr>
          <w:rFonts w:ascii="Times New Roman" w:eastAsia="Times New Roman" w:hAnsi="Times New Roman" w:cs="Times New Roman"/>
          <w:lang w:val="es-ES_tradnl"/>
        </w:rPr>
        <w:t>las capacitaciones</w:t>
      </w:r>
      <w:r w:rsidR="00A1007C" w:rsidRPr="0052028E">
        <w:rPr>
          <w:rFonts w:ascii="Times New Roman" w:eastAsia="Times New Roman" w:hAnsi="Times New Roman" w:cs="Times New Roman"/>
          <w:lang w:val="es-ES_tradnl"/>
        </w:rPr>
        <w:t xml:space="preserve"> a oficiales públicos y específicamente jueces, en términos de identidad de género, orientación sexual y derechos de las personas LGBT, siguiendo la decisión de la Corte Interamericana en el caso de Atala Riffo y Niñas  v. Chile. </w:t>
      </w:r>
    </w:p>
    <w:p w14:paraId="6676D5D3" w14:textId="77777777" w:rsidR="0052028E" w:rsidRPr="0052028E" w:rsidRDefault="0052028E" w:rsidP="0052028E">
      <w:pPr>
        <w:rPr>
          <w:rFonts w:ascii="Times New Roman" w:eastAsia="Times New Roman" w:hAnsi="Times New Roman" w:cs="Times New Roman"/>
          <w:lang w:val="es-ES_tradnl"/>
        </w:rPr>
      </w:pPr>
    </w:p>
    <w:p w14:paraId="770A46F7" w14:textId="38FAA04A" w:rsidR="00A1007C" w:rsidRDefault="00A1007C" w:rsidP="007A3AE8">
      <w:pPr>
        <w:pStyle w:val="Prrafodelista"/>
        <w:numPr>
          <w:ilvl w:val="0"/>
          <w:numId w:val="12"/>
        </w:numPr>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 xml:space="preserve">Cumplir con la creación de la Subsecretaría de Derechos Humanos, encargada de coordinar políticas públicas, especialmente aquellas relacionadas con las necesidades inmediatas de </w:t>
      </w:r>
      <w:r w:rsidR="00DB6728">
        <w:rPr>
          <w:rFonts w:ascii="Times New Roman" w:eastAsia="Times New Roman" w:hAnsi="Times New Roman" w:cs="Times New Roman"/>
          <w:lang w:val="es-ES_tradnl"/>
        </w:rPr>
        <w:t xml:space="preserve">niñas, niños y adolescentes </w:t>
      </w:r>
      <w:r w:rsidRPr="0052028E">
        <w:rPr>
          <w:rFonts w:ascii="Times New Roman" w:eastAsia="Times New Roman" w:hAnsi="Times New Roman" w:cs="Times New Roman"/>
          <w:lang w:val="es-ES_tradnl"/>
        </w:rPr>
        <w:t>LGBT.</w:t>
      </w:r>
    </w:p>
    <w:p w14:paraId="10719DBE" w14:textId="77777777" w:rsidR="0052028E" w:rsidRPr="0052028E" w:rsidRDefault="0052028E" w:rsidP="0052028E">
      <w:pPr>
        <w:rPr>
          <w:rFonts w:ascii="Times New Roman" w:eastAsia="Times New Roman" w:hAnsi="Times New Roman" w:cs="Times New Roman"/>
          <w:lang w:val="es-ES_tradnl"/>
        </w:rPr>
      </w:pPr>
    </w:p>
    <w:p w14:paraId="04461771" w14:textId="5BD6CE96" w:rsidR="00A1007C" w:rsidRPr="0052028E" w:rsidRDefault="00A1007C" w:rsidP="007A3AE8">
      <w:pPr>
        <w:pStyle w:val="Prrafodelista"/>
        <w:numPr>
          <w:ilvl w:val="0"/>
          <w:numId w:val="12"/>
        </w:numPr>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 xml:space="preserve">Asegurar que </w:t>
      </w:r>
      <w:r w:rsidR="00DB6728">
        <w:rPr>
          <w:rFonts w:ascii="Times New Roman" w:eastAsia="Times New Roman" w:hAnsi="Times New Roman" w:cs="Times New Roman"/>
          <w:lang w:val="es-ES_tradnl"/>
        </w:rPr>
        <w:t xml:space="preserve">defensores y defensoras de </w:t>
      </w:r>
      <w:r w:rsidRPr="0052028E">
        <w:rPr>
          <w:rFonts w:ascii="Times New Roman" w:eastAsia="Times New Roman" w:hAnsi="Times New Roman" w:cs="Times New Roman"/>
          <w:lang w:val="es-ES_tradnl"/>
        </w:rPr>
        <w:t xml:space="preserve">los niños, niñas y adolescentes LGBT participen en el proceso de diseñar y monitorear las políticas públicas, que sus voces tengan el peso necesario y que sean respetados y concebidos como sujetos de derechos. </w:t>
      </w:r>
    </w:p>
    <w:p w14:paraId="5D8538A1" w14:textId="7FF68F64" w:rsidR="00B132B8" w:rsidRPr="006C60C7" w:rsidRDefault="00824AB7" w:rsidP="006C60C7">
      <w:pPr>
        <w:pStyle w:val="Ttulo1"/>
        <w:rPr>
          <w:rFonts w:ascii="Times New Roman" w:hAnsi="Times New Roman" w:cs="Times New Roman"/>
          <w:color w:val="000000" w:themeColor="text1"/>
          <w:sz w:val="28"/>
          <w:szCs w:val="28"/>
        </w:rPr>
      </w:pPr>
      <w:bookmarkStart w:id="8" w:name="_Toc298099165"/>
      <w:r w:rsidRPr="00AC72FD">
        <w:rPr>
          <w:rFonts w:ascii="Times New Roman" w:hAnsi="Times New Roman" w:cs="Times New Roman"/>
          <w:color w:val="000000" w:themeColor="text1"/>
          <w:sz w:val="28"/>
          <w:szCs w:val="28"/>
        </w:rPr>
        <w:t xml:space="preserve">II. </w:t>
      </w:r>
      <w:r w:rsidR="00726F60" w:rsidRPr="00AC72FD">
        <w:rPr>
          <w:rFonts w:ascii="Times New Roman" w:hAnsi="Times New Roman" w:cs="Times New Roman"/>
          <w:color w:val="000000" w:themeColor="text1"/>
          <w:sz w:val="28"/>
          <w:szCs w:val="28"/>
        </w:rPr>
        <w:t>Derechos y libert</w:t>
      </w:r>
      <w:r w:rsidRPr="00AC72FD">
        <w:rPr>
          <w:rFonts w:ascii="Times New Roman" w:hAnsi="Times New Roman" w:cs="Times New Roman"/>
          <w:color w:val="000000" w:themeColor="text1"/>
          <w:sz w:val="28"/>
          <w:szCs w:val="28"/>
        </w:rPr>
        <w:t>ades civiles (arts. 7, 8 y 13-</w:t>
      </w:r>
      <w:r w:rsidR="00726F60" w:rsidRPr="00AC72FD">
        <w:rPr>
          <w:rFonts w:ascii="Times New Roman" w:hAnsi="Times New Roman" w:cs="Times New Roman"/>
          <w:color w:val="000000" w:themeColor="text1"/>
          <w:sz w:val="28"/>
          <w:szCs w:val="28"/>
        </w:rPr>
        <w:t>17)</w:t>
      </w:r>
      <w:bookmarkEnd w:id="8"/>
    </w:p>
    <w:p w14:paraId="6A53EBF2" w14:textId="4D7CAA0E" w:rsidR="00440CC9" w:rsidRPr="0052028E" w:rsidRDefault="004915F7" w:rsidP="004915F7">
      <w:pPr>
        <w:pStyle w:val="Ttulo2"/>
        <w:rPr>
          <w:rFonts w:ascii="Times New Roman" w:hAnsi="Times New Roman" w:cs="Times New Roman"/>
          <w:color w:val="000000" w:themeColor="text1"/>
          <w:lang w:val="es-ES_tradnl"/>
        </w:rPr>
      </w:pPr>
      <w:bookmarkStart w:id="9" w:name="_Toc298099166"/>
      <w:r w:rsidRPr="0052028E">
        <w:rPr>
          <w:rFonts w:ascii="Times New Roman" w:hAnsi="Times New Roman" w:cs="Times New Roman"/>
          <w:color w:val="000000" w:themeColor="text1"/>
          <w:lang w:val="es-ES_tradnl"/>
        </w:rPr>
        <w:t xml:space="preserve">1. </w:t>
      </w:r>
      <w:r w:rsidR="00440CC9" w:rsidRPr="0052028E">
        <w:rPr>
          <w:rFonts w:ascii="Times New Roman" w:hAnsi="Times New Roman" w:cs="Times New Roman"/>
          <w:color w:val="000000" w:themeColor="text1"/>
          <w:lang w:val="es-ES_tradnl"/>
        </w:rPr>
        <w:t>El derecho a pres</w:t>
      </w:r>
      <w:r w:rsidR="00824AB7" w:rsidRPr="0052028E">
        <w:rPr>
          <w:rFonts w:ascii="Times New Roman" w:hAnsi="Times New Roman" w:cs="Times New Roman"/>
          <w:color w:val="000000" w:themeColor="text1"/>
          <w:lang w:val="es-ES_tradnl"/>
        </w:rPr>
        <w:t>erva</w:t>
      </w:r>
      <w:r w:rsidR="00440CC9" w:rsidRPr="0052028E">
        <w:rPr>
          <w:rFonts w:ascii="Times New Roman" w:hAnsi="Times New Roman" w:cs="Times New Roman"/>
          <w:color w:val="000000" w:themeColor="text1"/>
          <w:lang w:val="es-ES_tradnl"/>
        </w:rPr>
        <w:t>r la identidad de género</w:t>
      </w:r>
      <w:bookmarkEnd w:id="9"/>
      <w:r w:rsidR="00824AB7" w:rsidRPr="0052028E">
        <w:rPr>
          <w:rFonts w:ascii="Times New Roman" w:hAnsi="Times New Roman" w:cs="Times New Roman"/>
          <w:color w:val="000000" w:themeColor="text1"/>
          <w:lang w:val="es-ES_tradnl"/>
        </w:rPr>
        <w:t xml:space="preserve"> </w:t>
      </w:r>
    </w:p>
    <w:p w14:paraId="6610340F" w14:textId="77777777" w:rsidR="00F9276A" w:rsidRPr="0052028E" w:rsidRDefault="00F9276A" w:rsidP="00F9276A">
      <w:pPr>
        <w:rPr>
          <w:rFonts w:ascii="Times New Roman" w:eastAsia="Times New Roman" w:hAnsi="Times New Roman" w:cs="Times New Roman"/>
          <w:lang w:val="es-ES_tradnl"/>
        </w:rPr>
      </w:pPr>
    </w:p>
    <w:p w14:paraId="74198D8D" w14:textId="1BD57466" w:rsidR="00F9276A" w:rsidRPr="0052028E" w:rsidRDefault="00F9276A" w:rsidP="00DB6728">
      <w:pPr>
        <w:jc w:val="both"/>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Bajo el artículo 8, la Convención garantiza a todo niño o niña el derecho a preservar su identidad. Reconociendo la diversidad de niños y niñas, el Comité especifica que la definición de la identidad debe contemplar características como “sexo”, “orientación sexual” y “personalidad”, entre otras.</w:t>
      </w:r>
      <w:r w:rsidRPr="0052028E">
        <w:rPr>
          <w:rStyle w:val="Refdenotaalpie"/>
          <w:rFonts w:ascii="Times New Roman" w:eastAsia="Times New Roman" w:hAnsi="Times New Roman" w:cs="Times New Roman"/>
          <w:lang w:val="es-ES_tradnl"/>
        </w:rPr>
        <w:footnoteReference w:id="26"/>
      </w:r>
      <w:r w:rsidRPr="0052028E">
        <w:rPr>
          <w:rFonts w:ascii="Times New Roman" w:eastAsia="Times New Roman" w:hAnsi="Times New Roman" w:cs="Times New Roman"/>
          <w:lang w:val="es-ES_tradnl"/>
        </w:rPr>
        <w:t xml:space="preserve"> Desde una base similar, la Corte Europea afirmó que no debe existir “margen de apreciación” para que los individuos vivan con dignidad </w:t>
      </w:r>
      <w:r w:rsidR="008F07B0" w:rsidRPr="0052028E">
        <w:rPr>
          <w:rFonts w:ascii="Times New Roman" w:eastAsia="Times New Roman" w:hAnsi="Times New Roman" w:cs="Times New Roman"/>
          <w:lang w:val="es-ES_tradnl"/>
        </w:rPr>
        <w:t>de acuerdo a la identidad sexual elegida por ellos bajo su costo personal;</w:t>
      </w:r>
      <w:r w:rsidR="008F07B0" w:rsidRPr="0052028E">
        <w:rPr>
          <w:rStyle w:val="Refdenotaalpie"/>
          <w:rFonts w:ascii="Times New Roman" w:eastAsia="Times New Roman" w:hAnsi="Times New Roman" w:cs="Times New Roman"/>
          <w:lang w:val="es-ES_tradnl"/>
        </w:rPr>
        <w:footnoteReference w:id="27"/>
      </w:r>
      <w:r w:rsidR="008F07B0" w:rsidRPr="0052028E">
        <w:rPr>
          <w:rFonts w:ascii="Times New Roman" w:eastAsia="Times New Roman" w:hAnsi="Times New Roman" w:cs="Times New Roman"/>
          <w:lang w:val="es-ES_tradnl"/>
        </w:rPr>
        <w:t xml:space="preserve"> debe garantizarse la protección legal para evitar toda interferencia a la privacidad, dirigiéndose ésta hacia la esfera personal de cada persona, incluyendo su derecho a definir los detalles de su identidad.</w:t>
      </w:r>
      <w:r w:rsidR="008F07B0" w:rsidRPr="0052028E">
        <w:rPr>
          <w:rStyle w:val="Refdenotaalpie"/>
          <w:rFonts w:ascii="Times New Roman" w:eastAsia="Times New Roman" w:hAnsi="Times New Roman" w:cs="Times New Roman"/>
          <w:lang w:val="es-ES_tradnl"/>
        </w:rPr>
        <w:footnoteReference w:id="28"/>
      </w:r>
      <w:r w:rsidR="008F07B0" w:rsidRPr="0052028E">
        <w:rPr>
          <w:rFonts w:ascii="Times New Roman" w:eastAsia="Times New Roman" w:hAnsi="Times New Roman" w:cs="Times New Roman"/>
          <w:lang w:val="es-ES_tradnl"/>
        </w:rPr>
        <w:t xml:space="preserve"> </w:t>
      </w:r>
      <w:r w:rsidR="00DB6728">
        <w:rPr>
          <w:rFonts w:ascii="Times New Roman" w:eastAsia="Times New Roman" w:hAnsi="Times New Roman" w:cs="Times New Roman"/>
          <w:lang w:val="es-ES_tradnl"/>
        </w:rPr>
        <w:t>En previas ocasiones, la Corte Europea ha reconocido la gravedad de las problemáticas que enfrentan las personas transgénero.</w:t>
      </w:r>
      <w:r w:rsidR="00DB6728">
        <w:rPr>
          <w:rStyle w:val="Refdenotaalpie"/>
          <w:rFonts w:ascii="Times New Roman" w:eastAsia="Times New Roman" w:hAnsi="Times New Roman" w:cs="Times New Roman"/>
          <w:lang w:val="es-ES_tradnl"/>
        </w:rPr>
        <w:footnoteReference w:id="29"/>
      </w:r>
      <w:r w:rsidR="00DB6728">
        <w:rPr>
          <w:rFonts w:ascii="Times New Roman" w:eastAsia="Times New Roman" w:hAnsi="Times New Roman" w:cs="Times New Roman"/>
          <w:lang w:val="es-ES_tradnl"/>
        </w:rPr>
        <w:t xml:space="preserve"> </w:t>
      </w:r>
      <w:r w:rsidR="008F07B0" w:rsidRPr="0052028E">
        <w:rPr>
          <w:rFonts w:ascii="Times New Roman" w:eastAsia="Times New Roman" w:hAnsi="Times New Roman" w:cs="Times New Roman"/>
          <w:lang w:val="es-ES_tradnl"/>
        </w:rPr>
        <w:t>Con relación a esta preocupación, el Comité de los Derechos Humanos hizo un llamado a que los estados reconozcan el derecho que tienen las personas transgénero a cambiar su identidad de género a través de la tramitación de nuevos certificados de nacimiento.</w:t>
      </w:r>
      <w:r w:rsidR="008F07B0" w:rsidRPr="0052028E">
        <w:rPr>
          <w:rStyle w:val="Refdenotaalpie"/>
          <w:rFonts w:ascii="Times New Roman" w:eastAsia="Times New Roman" w:hAnsi="Times New Roman" w:cs="Times New Roman"/>
          <w:lang w:val="es-ES_tradnl"/>
        </w:rPr>
        <w:footnoteReference w:id="30"/>
      </w:r>
    </w:p>
    <w:p w14:paraId="16AA20CF" w14:textId="77777777" w:rsidR="00F9276A" w:rsidRPr="0052028E" w:rsidRDefault="00F9276A" w:rsidP="00440CC9">
      <w:pPr>
        <w:pStyle w:val="Prrafodelista"/>
        <w:rPr>
          <w:rFonts w:ascii="Times New Roman" w:eastAsia="Times New Roman" w:hAnsi="Times New Roman" w:cs="Times New Roman"/>
          <w:u w:val="single"/>
        </w:rPr>
      </w:pPr>
    </w:p>
    <w:p w14:paraId="1EDC3234" w14:textId="5D87E695" w:rsidR="00911CAF" w:rsidRDefault="00A1007C" w:rsidP="00B132B8">
      <w:pPr>
        <w:jc w:val="both"/>
        <w:rPr>
          <w:rFonts w:ascii="Times New Roman" w:hAnsi="Times New Roman" w:cs="Times New Roman"/>
          <w:lang w:val="es-ES_tradnl"/>
        </w:rPr>
      </w:pPr>
      <w:r w:rsidRPr="0052028E">
        <w:rPr>
          <w:rFonts w:ascii="Times New Roman" w:eastAsia="Times New Roman" w:hAnsi="Times New Roman" w:cs="Times New Roman"/>
          <w:lang w:val="es-ES_tradnl"/>
        </w:rPr>
        <w:t xml:space="preserve">Bajo la legislación actual (Boletín No. 17.344), </w:t>
      </w:r>
      <w:r w:rsidR="00B132B8" w:rsidRPr="0052028E">
        <w:rPr>
          <w:rFonts w:ascii="Times New Roman" w:eastAsia="Times New Roman" w:hAnsi="Times New Roman" w:cs="Times New Roman"/>
          <w:lang w:val="es-ES_tradnl"/>
        </w:rPr>
        <w:t>las personas que quieren cambiar su nombre o sexo en el registro civil, deben hacerlo mediante un tribunal</w:t>
      </w:r>
      <w:r w:rsidR="00663A1A">
        <w:rPr>
          <w:rFonts w:ascii="Times New Roman" w:eastAsia="Times New Roman" w:hAnsi="Times New Roman" w:cs="Times New Roman"/>
          <w:lang w:val="es-ES_tradnl"/>
        </w:rPr>
        <w:t xml:space="preserve"> civil</w:t>
      </w:r>
      <w:r w:rsidR="00B132B8" w:rsidRPr="0052028E">
        <w:rPr>
          <w:rFonts w:ascii="Times New Roman" w:eastAsia="Times New Roman" w:hAnsi="Times New Roman" w:cs="Times New Roman"/>
          <w:lang w:val="es-ES_tradnl"/>
        </w:rPr>
        <w:t xml:space="preserve">. </w:t>
      </w:r>
      <w:r w:rsidR="00715849" w:rsidRPr="0052028E">
        <w:rPr>
          <w:rFonts w:ascii="Times New Roman" w:eastAsia="Times New Roman" w:hAnsi="Times New Roman" w:cs="Times New Roman"/>
          <w:lang w:val="es-ES_tradnl"/>
        </w:rPr>
        <w:t>El Boletín No. 17.344 autoriza el cambio de nombre únicamente cuando el nombre dado a la persona puede ponerla en ridículo y/o afectar su integridad moral, o cuando una persona ha sido conocida por otro nombre durante más de cinco años consecutivos.</w:t>
      </w:r>
      <w:r w:rsidR="00715849" w:rsidRPr="0052028E">
        <w:rPr>
          <w:rStyle w:val="Refdenotaalpie"/>
          <w:rFonts w:ascii="Times New Roman" w:eastAsia="Times New Roman" w:hAnsi="Times New Roman" w:cs="Times New Roman"/>
          <w:lang w:val="es-ES_tradnl"/>
        </w:rPr>
        <w:footnoteReference w:id="31"/>
      </w:r>
      <w:r w:rsidR="00715849" w:rsidRPr="0052028E">
        <w:rPr>
          <w:rFonts w:ascii="Times New Roman" w:eastAsia="Times New Roman" w:hAnsi="Times New Roman" w:cs="Times New Roman"/>
          <w:lang w:val="es-ES_tradnl"/>
        </w:rPr>
        <w:t xml:space="preserve"> </w:t>
      </w:r>
      <w:r w:rsidR="00663A1A">
        <w:rPr>
          <w:rFonts w:ascii="Times New Roman" w:eastAsia="Times New Roman" w:hAnsi="Times New Roman" w:cs="Times New Roman"/>
          <w:lang w:val="es-ES_tradnl"/>
        </w:rPr>
        <w:t>El</w:t>
      </w:r>
      <w:r w:rsidR="00B132B8" w:rsidRPr="0052028E">
        <w:rPr>
          <w:rFonts w:ascii="Times New Roman" w:eastAsia="Times New Roman" w:hAnsi="Times New Roman" w:cs="Times New Roman"/>
          <w:lang w:val="es-ES_tradnl"/>
        </w:rPr>
        <w:t xml:space="preserve"> proce</w:t>
      </w:r>
      <w:r w:rsidR="00663A1A">
        <w:rPr>
          <w:rFonts w:ascii="Times New Roman" w:eastAsia="Times New Roman" w:hAnsi="Times New Roman" w:cs="Times New Roman"/>
          <w:lang w:val="es-ES_tradnl"/>
        </w:rPr>
        <w:t>dimiento</w:t>
      </w:r>
      <w:r w:rsidR="00B132B8" w:rsidRPr="0052028E">
        <w:rPr>
          <w:rFonts w:ascii="Times New Roman" w:eastAsia="Times New Roman" w:hAnsi="Times New Roman" w:cs="Times New Roman"/>
          <w:lang w:val="es-ES_tradnl"/>
        </w:rPr>
        <w:t xml:space="preserve"> </w:t>
      </w:r>
      <w:r w:rsidR="00715849" w:rsidRPr="0052028E">
        <w:rPr>
          <w:rFonts w:ascii="Times New Roman" w:eastAsia="Times New Roman" w:hAnsi="Times New Roman" w:cs="Times New Roman"/>
          <w:lang w:val="es-ES_tradnl"/>
        </w:rPr>
        <w:t xml:space="preserve">establecido mediante esta ley </w:t>
      </w:r>
      <w:r w:rsidR="00663A1A">
        <w:rPr>
          <w:rFonts w:ascii="Times New Roman" w:eastAsia="Times New Roman" w:hAnsi="Times New Roman" w:cs="Times New Roman"/>
          <w:lang w:val="es-ES_tradnl"/>
        </w:rPr>
        <w:t xml:space="preserve">no solo </w:t>
      </w:r>
      <w:r w:rsidR="00B132B8" w:rsidRPr="0052028E">
        <w:rPr>
          <w:rFonts w:ascii="Times New Roman" w:eastAsia="Times New Roman" w:hAnsi="Times New Roman" w:cs="Times New Roman"/>
          <w:lang w:val="es-ES_tradnl"/>
        </w:rPr>
        <w:t xml:space="preserve">implica </w:t>
      </w:r>
      <w:r w:rsidR="00663A1A">
        <w:rPr>
          <w:rFonts w:ascii="Times New Roman" w:eastAsia="Times New Roman" w:hAnsi="Times New Roman" w:cs="Times New Roman"/>
          <w:lang w:val="es-ES_tradnl"/>
        </w:rPr>
        <w:t xml:space="preserve">altos costos económicos; también </w:t>
      </w:r>
      <w:r w:rsidR="00B132B8" w:rsidRPr="0052028E">
        <w:rPr>
          <w:rFonts w:ascii="Times New Roman" w:eastAsia="Times New Roman" w:hAnsi="Times New Roman" w:cs="Times New Roman"/>
          <w:lang w:val="es-ES_tradnl"/>
        </w:rPr>
        <w:t>implica largos tiempos de espera. Así mismo, l</w:t>
      </w:r>
      <w:r w:rsidR="005D096F" w:rsidRPr="0052028E">
        <w:rPr>
          <w:rFonts w:ascii="Times New Roman" w:hAnsi="Times New Roman" w:cs="Times New Roman"/>
          <w:lang w:val="es-ES_tradnl"/>
        </w:rPr>
        <w:t xml:space="preserve">a </w:t>
      </w:r>
      <w:r w:rsidR="00260DCB" w:rsidRPr="0052028E">
        <w:rPr>
          <w:rFonts w:ascii="Times New Roman" w:hAnsi="Times New Roman" w:cs="Times New Roman"/>
          <w:lang w:val="es-ES_tradnl"/>
        </w:rPr>
        <w:t>decisión</w:t>
      </w:r>
      <w:r w:rsidR="00B132B8" w:rsidRPr="0052028E">
        <w:rPr>
          <w:rFonts w:ascii="Times New Roman" w:hAnsi="Times New Roman" w:cs="Times New Roman"/>
          <w:lang w:val="es-ES_tradnl"/>
        </w:rPr>
        <w:t xml:space="preserve"> está supeditada a la </w:t>
      </w:r>
      <w:r w:rsidR="00715849" w:rsidRPr="0052028E">
        <w:rPr>
          <w:rFonts w:ascii="Times New Roman" w:hAnsi="Times New Roman" w:cs="Times New Roman"/>
          <w:lang w:val="es-ES_tradnl"/>
        </w:rPr>
        <w:t xml:space="preserve">discreción del </w:t>
      </w:r>
      <w:r w:rsidR="005D096F" w:rsidRPr="0052028E">
        <w:rPr>
          <w:rFonts w:ascii="Times New Roman" w:hAnsi="Times New Roman" w:cs="Times New Roman"/>
          <w:lang w:val="es-ES_tradnl"/>
        </w:rPr>
        <w:t>juez.</w:t>
      </w:r>
      <w:r w:rsidR="00663A1A" w:rsidRPr="00663A1A">
        <w:rPr>
          <w:rStyle w:val="Refdenotaalpie"/>
          <w:rFonts w:ascii="Times New Roman" w:hAnsi="Times New Roman" w:cs="Times New Roman"/>
          <w:lang w:val="es-ES_tradnl"/>
        </w:rPr>
        <w:t xml:space="preserve"> </w:t>
      </w:r>
      <w:r w:rsidR="00663A1A" w:rsidRPr="0052028E">
        <w:rPr>
          <w:rStyle w:val="Refdenotaalpie"/>
          <w:rFonts w:ascii="Times New Roman" w:hAnsi="Times New Roman" w:cs="Times New Roman"/>
          <w:lang w:val="es-ES_tradnl"/>
        </w:rPr>
        <w:footnoteReference w:id="32"/>
      </w:r>
      <w:r w:rsidR="00663A1A" w:rsidRPr="0052028E">
        <w:rPr>
          <w:rFonts w:ascii="Times New Roman" w:hAnsi="Times New Roman" w:cs="Times New Roman"/>
          <w:lang w:val="es-ES_tradnl"/>
        </w:rPr>
        <w:t xml:space="preserve"> </w:t>
      </w:r>
      <w:r w:rsidR="005D096F" w:rsidRPr="0052028E">
        <w:rPr>
          <w:rFonts w:ascii="Times New Roman" w:hAnsi="Times New Roman" w:cs="Times New Roman"/>
          <w:lang w:val="es-ES_tradnl"/>
        </w:rPr>
        <w:t xml:space="preserve"> </w:t>
      </w:r>
      <w:r w:rsidR="00911CAF">
        <w:rPr>
          <w:rFonts w:ascii="Times New Roman" w:hAnsi="Times New Roman" w:cs="Times New Roman"/>
          <w:lang w:val="es-ES_tradnl"/>
        </w:rPr>
        <w:t xml:space="preserve">Son pocas las ocasiones en las que el cambio de nombre y sexo en el registro civil son concedidas. La aceptación de estas solicitudes generalmente se otorga luego de </w:t>
      </w:r>
      <w:r w:rsidR="00911CAF" w:rsidRPr="0052028E">
        <w:rPr>
          <w:rFonts w:ascii="Times New Roman" w:hAnsi="Times New Roman" w:cs="Times New Roman"/>
          <w:lang w:val="es-ES_tradnl"/>
        </w:rPr>
        <w:t xml:space="preserve">que quien las solicita se ha sometido a </w:t>
      </w:r>
      <w:r w:rsidR="00911CAF">
        <w:rPr>
          <w:rFonts w:ascii="Times New Roman" w:hAnsi="Times New Roman" w:cs="Times New Roman"/>
          <w:lang w:val="es-ES_tradnl"/>
        </w:rPr>
        <w:t xml:space="preserve">largos períodos de tratamientos hormonales y </w:t>
      </w:r>
      <w:r w:rsidR="00911CAF" w:rsidRPr="0052028E">
        <w:rPr>
          <w:rFonts w:ascii="Times New Roman" w:hAnsi="Times New Roman" w:cs="Times New Roman"/>
          <w:lang w:val="es-ES_tradnl"/>
        </w:rPr>
        <w:t>cirugías de reasignación sexual.</w:t>
      </w:r>
      <w:r w:rsidR="00911CAF">
        <w:rPr>
          <w:rFonts w:ascii="Times New Roman" w:hAnsi="Times New Roman" w:cs="Times New Roman"/>
          <w:lang w:val="es-ES_tradnl"/>
        </w:rPr>
        <w:t xml:space="preserve"> </w:t>
      </w:r>
      <w:r w:rsidR="00715849" w:rsidRPr="0052028E">
        <w:rPr>
          <w:rFonts w:ascii="Times New Roman" w:hAnsi="Times New Roman" w:cs="Times New Roman"/>
          <w:lang w:val="es-ES_tradnl"/>
        </w:rPr>
        <w:t xml:space="preserve">Estos </w:t>
      </w:r>
      <w:r w:rsidR="00754B9B" w:rsidRPr="0052028E">
        <w:rPr>
          <w:rFonts w:ascii="Times New Roman" w:hAnsi="Times New Roman" w:cs="Times New Roman"/>
          <w:lang w:val="es-ES_tradnl"/>
        </w:rPr>
        <w:t xml:space="preserve">procedimientos </w:t>
      </w:r>
      <w:r w:rsidR="00911CAF">
        <w:rPr>
          <w:rFonts w:ascii="Times New Roman" w:hAnsi="Times New Roman" w:cs="Times New Roman"/>
          <w:lang w:val="es-ES_tradnl"/>
        </w:rPr>
        <w:t>requieren de un diagnóstico médico previo, y acceder a ellos es difícil por sus altos costos. Más aún, no siempre son deseados por quien solicita un cambio de nombre o sexo en sus documentos</w:t>
      </w:r>
      <w:r w:rsidR="005D096F" w:rsidRPr="0052028E">
        <w:rPr>
          <w:rFonts w:ascii="Times New Roman" w:hAnsi="Times New Roman" w:cs="Times New Roman"/>
          <w:lang w:val="es-ES_tradnl"/>
        </w:rPr>
        <w:t>.</w:t>
      </w:r>
      <w:r w:rsidR="00663A1A">
        <w:rPr>
          <w:rStyle w:val="Refdenotaalpie"/>
          <w:rFonts w:ascii="Times New Roman" w:hAnsi="Times New Roman" w:cs="Times New Roman"/>
          <w:lang w:val="es-ES_tradnl"/>
        </w:rPr>
        <w:footnoteReference w:id="33"/>
      </w:r>
      <w:r w:rsidR="005D096F" w:rsidRPr="0052028E">
        <w:rPr>
          <w:rFonts w:ascii="Times New Roman" w:hAnsi="Times New Roman" w:cs="Times New Roman"/>
          <w:lang w:val="es-ES_tradnl"/>
        </w:rPr>
        <w:t xml:space="preserve"> </w:t>
      </w:r>
    </w:p>
    <w:p w14:paraId="1356C57A" w14:textId="77777777" w:rsidR="00812ED3" w:rsidRDefault="00911CAF" w:rsidP="00B132B8">
      <w:pPr>
        <w:pStyle w:val="NormalWeb"/>
        <w:jc w:val="both"/>
        <w:rPr>
          <w:rFonts w:ascii="Times New Roman" w:hAnsi="Times New Roman"/>
          <w:sz w:val="24"/>
          <w:szCs w:val="24"/>
          <w:lang w:val="es-ES_tradnl"/>
        </w:rPr>
      </w:pPr>
      <w:r w:rsidRPr="00812ED3">
        <w:rPr>
          <w:rFonts w:ascii="Times New Roman" w:hAnsi="Times New Roman"/>
          <w:sz w:val="24"/>
          <w:szCs w:val="24"/>
          <w:lang w:val="es-ES_tradnl"/>
        </w:rPr>
        <w:t>Aunque en Chile ha habido varios casos que han visibilizado las problemáticas relacionadas con la identidad de género de NNA</w:t>
      </w:r>
      <w:r w:rsidR="000640A9" w:rsidRPr="00812ED3">
        <w:rPr>
          <w:rStyle w:val="Refdenotaalpie"/>
          <w:rFonts w:ascii="Times New Roman" w:hAnsi="Times New Roman"/>
          <w:sz w:val="24"/>
          <w:szCs w:val="24"/>
          <w:lang w:val="es-ES_tradnl"/>
        </w:rPr>
        <w:footnoteReference w:id="34"/>
      </w:r>
      <w:r w:rsidR="005E66F5" w:rsidRPr="00812ED3">
        <w:rPr>
          <w:rFonts w:ascii="Times New Roman" w:hAnsi="Times New Roman"/>
          <w:sz w:val="24"/>
          <w:szCs w:val="24"/>
          <w:lang w:val="es-ES_tradnl"/>
        </w:rPr>
        <w:t>, aún no existe una ley que reconozca y legitime a NNA transgénero como ciudadanos y sujet</w:t>
      </w:r>
      <w:r w:rsidR="005815E7" w:rsidRPr="00812ED3">
        <w:rPr>
          <w:rFonts w:ascii="Times New Roman" w:hAnsi="Times New Roman"/>
          <w:sz w:val="24"/>
          <w:szCs w:val="24"/>
          <w:lang w:val="es-ES_tradnl"/>
        </w:rPr>
        <w:t xml:space="preserve">os de derechos. En </w:t>
      </w:r>
      <w:r w:rsidR="005E66F5" w:rsidRPr="00812ED3">
        <w:rPr>
          <w:rFonts w:ascii="Times New Roman" w:hAnsi="Times New Roman"/>
          <w:sz w:val="24"/>
          <w:szCs w:val="24"/>
          <w:lang w:val="es-ES_tradnl"/>
        </w:rPr>
        <w:t xml:space="preserve">Mayo de 2013, se introdujo al Congreso de Chile un proyecto de ley para reconocer la identidad de género </w:t>
      </w:r>
      <w:r w:rsidR="005E66F5" w:rsidRPr="00812ED3">
        <w:rPr>
          <w:rFonts w:ascii="Times New Roman" w:hAnsi="Times New Roman"/>
          <w:color w:val="000000" w:themeColor="text1"/>
          <w:sz w:val="24"/>
          <w:szCs w:val="24"/>
        </w:rPr>
        <w:t>(Boletín N° 8.924-07)</w:t>
      </w:r>
      <w:r w:rsidR="005E66F5" w:rsidRPr="00812ED3">
        <w:rPr>
          <w:rFonts w:ascii="Times New Roman" w:hAnsi="Times New Roman"/>
          <w:color w:val="000000" w:themeColor="text1"/>
          <w:sz w:val="24"/>
          <w:szCs w:val="24"/>
          <w:lang w:val="es-ES_tradnl"/>
        </w:rPr>
        <w:t xml:space="preserve">. </w:t>
      </w:r>
      <w:r w:rsidR="005815E7" w:rsidRPr="00812ED3">
        <w:rPr>
          <w:rFonts w:ascii="Times New Roman" w:hAnsi="Times New Roman"/>
          <w:color w:val="000000" w:themeColor="text1"/>
          <w:sz w:val="24"/>
          <w:szCs w:val="24"/>
          <w:lang w:val="es-ES_tradnl"/>
        </w:rPr>
        <w:t xml:space="preserve">El proyecto de ley luego pasó a la Comisión de Derechos Humanos del Senado, en donde se aprobaron una serie recomendaciones y artículos para fortalecerlo. Entre estos se incluyeron medidas específicas de protección a los NNA transgénero, como el derecho a la identidad de género y la adopción de la definición de identidad de género establecida en los Principios de </w:t>
      </w:r>
      <w:r w:rsidR="005815E7" w:rsidRPr="00812ED3">
        <w:rPr>
          <w:rFonts w:ascii="Times New Roman" w:hAnsi="Times New Roman"/>
          <w:color w:val="000000" w:themeColor="text1"/>
          <w:sz w:val="24"/>
          <w:szCs w:val="24"/>
        </w:rPr>
        <w:t xml:space="preserve">Yogyakarta. </w:t>
      </w:r>
      <w:r w:rsidR="000640A9" w:rsidRPr="00812ED3">
        <w:rPr>
          <w:rFonts w:ascii="Times New Roman" w:hAnsi="Times New Roman"/>
          <w:color w:val="000000" w:themeColor="text1"/>
          <w:sz w:val="24"/>
          <w:szCs w:val="24"/>
          <w:lang w:val="es-ES_tradnl"/>
        </w:rPr>
        <w:t>A su vez, se eliminaron la cirugía y el certificado psicológico/ psiquiátrico como requisitos para acceder al cambio de nombre y sexo. Más aún, se eliminó la judicialización del proceso, mediante la cual debía contarse con abogados. Así, se declaró que</w:t>
      </w:r>
      <w:r w:rsidR="000425E1" w:rsidRPr="00812ED3">
        <w:rPr>
          <w:rFonts w:ascii="Times New Roman" w:hAnsi="Times New Roman"/>
          <w:color w:val="000000" w:themeColor="text1"/>
          <w:sz w:val="24"/>
          <w:szCs w:val="24"/>
          <w:lang w:val="es-ES_tradnl"/>
        </w:rPr>
        <w:t xml:space="preserve"> los Tribunales de Familia deben ser</w:t>
      </w:r>
      <w:r w:rsidR="000640A9" w:rsidRPr="00812ED3">
        <w:rPr>
          <w:rFonts w:ascii="Times New Roman" w:hAnsi="Times New Roman"/>
          <w:color w:val="000000" w:themeColor="text1"/>
          <w:sz w:val="24"/>
          <w:szCs w:val="24"/>
          <w:lang w:val="es-ES_tradnl"/>
        </w:rPr>
        <w:t xml:space="preserve"> los encargados de llevar a cabo todo procedimiento de cambio de nombre y sexo.</w:t>
      </w:r>
      <w:r w:rsidR="00812ED3" w:rsidRPr="00812ED3">
        <w:rPr>
          <w:rStyle w:val="Refdenotaalpie"/>
          <w:rFonts w:ascii="Times New Roman" w:hAnsi="Times New Roman"/>
          <w:sz w:val="24"/>
          <w:szCs w:val="24"/>
          <w:lang w:val="es-ES_tradnl"/>
        </w:rPr>
        <w:footnoteReference w:id="35"/>
      </w:r>
    </w:p>
    <w:p w14:paraId="12A24A39" w14:textId="77BCC3B9" w:rsidR="006C60C7" w:rsidRDefault="00070DB0" w:rsidP="006C60C7">
      <w:pPr>
        <w:pStyle w:val="NormalWeb"/>
        <w:jc w:val="both"/>
        <w:rPr>
          <w:rFonts w:ascii="Times New Roman" w:hAnsi="Times New Roman"/>
          <w:sz w:val="24"/>
          <w:szCs w:val="24"/>
          <w:lang w:val="es-ES_tradnl"/>
        </w:rPr>
      </w:pPr>
      <w:r>
        <w:rPr>
          <w:rFonts w:ascii="Times New Roman" w:hAnsi="Times New Roman"/>
          <w:sz w:val="24"/>
          <w:szCs w:val="24"/>
          <w:lang w:val="es-ES_tradnl"/>
        </w:rPr>
        <w:t>Si bien se han producido avances importantes, aún no se ha aprobado la Ley. L</w:t>
      </w:r>
      <w:r w:rsidR="00141B98" w:rsidRPr="0052028E">
        <w:rPr>
          <w:rFonts w:ascii="Times New Roman" w:hAnsi="Times New Roman"/>
          <w:sz w:val="24"/>
          <w:szCs w:val="24"/>
          <w:lang w:val="es-ES_tradnl"/>
        </w:rPr>
        <w:t>a Senadora Jacqueline Van Rysselbergue – Presidenta de la Comisión</w:t>
      </w:r>
      <w:r w:rsidR="00C13D15">
        <w:rPr>
          <w:rFonts w:ascii="Times New Roman" w:hAnsi="Times New Roman"/>
          <w:sz w:val="24"/>
          <w:szCs w:val="24"/>
          <w:lang w:val="es-ES_tradnl"/>
        </w:rPr>
        <w:t xml:space="preserve"> de Derechos humanos del Senado</w:t>
      </w:r>
      <w:r w:rsidR="00141B98" w:rsidRPr="0052028E">
        <w:rPr>
          <w:rFonts w:ascii="Times New Roman" w:hAnsi="Times New Roman"/>
          <w:sz w:val="24"/>
          <w:szCs w:val="24"/>
          <w:lang w:val="es-ES_tradnl"/>
        </w:rPr>
        <w:t xml:space="preserve">-- se ha opuesto públicamente </w:t>
      </w:r>
      <w:r w:rsidR="00C13D15">
        <w:rPr>
          <w:rFonts w:ascii="Times New Roman" w:hAnsi="Times New Roman"/>
          <w:sz w:val="24"/>
          <w:szCs w:val="24"/>
          <w:lang w:val="es-ES_tradnl"/>
        </w:rPr>
        <w:t xml:space="preserve">a la Ley de Identidad de Género; en varias ocasiones se ha negado a discutir el Boletín No. </w:t>
      </w:r>
      <w:r w:rsidR="00C13D15" w:rsidRPr="00C13D15">
        <w:rPr>
          <w:rFonts w:ascii="Times New Roman" w:hAnsi="Times New Roman"/>
          <w:color w:val="000000" w:themeColor="text1"/>
          <w:sz w:val="24"/>
          <w:szCs w:val="24"/>
        </w:rPr>
        <w:t>8.924-07</w:t>
      </w:r>
      <w:r w:rsidR="00C13D15">
        <w:rPr>
          <w:rFonts w:ascii="Times New Roman" w:hAnsi="Times New Roman"/>
          <w:color w:val="000000" w:themeColor="text1"/>
          <w:sz w:val="24"/>
          <w:szCs w:val="24"/>
        </w:rPr>
        <w:t>.</w:t>
      </w:r>
      <w:r w:rsidR="00141B98" w:rsidRPr="0052028E">
        <w:rPr>
          <w:rStyle w:val="Refdenotaalpie"/>
          <w:rFonts w:ascii="Times New Roman" w:hAnsi="Times New Roman"/>
          <w:sz w:val="24"/>
          <w:szCs w:val="24"/>
          <w:lang w:val="es-ES_tradnl"/>
        </w:rPr>
        <w:footnoteReference w:id="36"/>
      </w:r>
      <w:r w:rsidR="00C13D15">
        <w:rPr>
          <w:rFonts w:ascii="Times New Roman" w:hAnsi="Times New Roman"/>
          <w:color w:val="000000" w:themeColor="text1"/>
          <w:sz w:val="24"/>
          <w:szCs w:val="24"/>
        </w:rPr>
        <w:t xml:space="preserve"> </w:t>
      </w:r>
      <w:r w:rsidR="00C13D15" w:rsidRPr="00C13D15">
        <w:rPr>
          <w:rFonts w:ascii="Times New Roman" w:hAnsi="Times New Roman"/>
          <w:color w:val="000000" w:themeColor="text1"/>
          <w:sz w:val="24"/>
          <w:szCs w:val="24"/>
          <w:lang w:val="es-ES_tradnl"/>
        </w:rPr>
        <w:t xml:space="preserve">Como resultado de </w:t>
      </w:r>
      <w:r w:rsidR="004320F6">
        <w:rPr>
          <w:rFonts w:ascii="Times New Roman" w:hAnsi="Times New Roman"/>
          <w:color w:val="000000" w:themeColor="text1"/>
          <w:sz w:val="24"/>
          <w:szCs w:val="24"/>
          <w:lang w:val="es-ES_tradnl"/>
        </w:rPr>
        <w:t>esta</w:t>
      </w:r>
      <w:r w:rsidR="00C13D15" w:rsidRPr="00C13D15">
        <w:rPr>
          <w:rFonts w:ascii="Times New Roman" w:hAnsi="Times New Roman"/>
          <w:color w:val="000000" w:themeColor="text1"/>
          <w:sz w:val="24"/>
          <w:szCs w:val="24"/>
          <w:lang w:val="es-ES_tradnl"/>
        </w:rPr>
        <w:t xml:space="preserve"> demora, </w:t>
      </w:r>
      <w:r w:rsidR="004320F6">
        <w:rPr>
          <w:rFonts w:ascii="Times New Roman" w:hAnsi="Times New Roman"/>
          <w:color w:val="000000" w:themeColor="text1"/>
          <w:sz w:val="24"/>
          <w:szCs w:val="24"/>
          <w:lang w:val="es-ES_tradnl"/>
        </w:rPr>
        <w:t xml:space="preserve">los </w:t>
      </w:r>
      <w:r w:rsidR="00C13D15" w:rsidRPr="00C13D15">
        <w:rPr>
          <w:rFonts w:ascii="Times New Roman" w:hAnsi="Times New Roman"/>
          <w:color w:val="000000" w:themeColor="text1"/>
          <w:sz w:val="24"/>
          <w:szCs w:val="24"/>
          <w:lang w:val="es-ES_tradnl"/>
        </w:rPr>
        <w:t xml:space="preserve">NNA transgénero en Chile siguen </w:t>
      </w:r>
      <w:r w:rsidR="004320F6">
        <w:rPr>
          <w:rFonts w:ascii="Times New Roman" w:hAnsi="Times New Roman"/>
          <w:color w:val="000000" w:themeColor="text1"/>
          <w:sz w:val="24"/>
          <w:szCs w:val="24"/>
          <w:lang w:val="es-ES_tradnl"/>
        </w:rPr>
        <w:t>siendo invisibilizados;</w:t>
      </w:r>
      <w:r w:rsidR="00C13D15" w:rsidRPr="00C13D15">
        <w:rPr>
          <w:rFonts w:ascii="Times New Roman" w:hAnsi="Times New Roman"/>
          <w:color w:val="000000" w:themeColor="text1"/>
          <w:sz w:val="24"/>
          <w:szCs w:val="24"/>
          <w:lang w:val="es-ES_tradnl"/>
        </w:rPr>
        <w:t xml:space="preserve"> se les sigue negando </w:t>
      </w:r>
      <w:r w:rsidR="004320F6">
        <w:rPr>
          <w:rFonts w:ascii="Times New Roman" w:hAnsi="Times New Roman"/>
          <w:color w:val="000000" w:themeColor="text1"/>
          <w:sz w:val="24"/>
          <w:szCs w:val="24"/>
          <w:lang w:val="es-ES_tradnl"/>
        </w:rPr>
        <w:t xml:space="preserve">el acceso a </w:t>
      </w:r>
      <w:r w:rsidR="00C13D15" w:rsidRPr="00C13D15">
        <w:rPr>
          <w:rFonts w:ascii="Times New Roman" w:hAnsi="Times New Roman"/>
          <w:color w:val="000000" w:themeColor="text1"/>
          <w:sz w:val="24"/>
          <w:szCs w:val="24"/>
          <w:lang w:val="es-ES_tradnl"/>
        </w:rPr>
        <w:t xml:space="preserve">sus derechos a la libertad de </w:t>
      </w:r>
      <w:r w:rsidR="004320F6" w:rsidRPr="00C13D15">
        <w:rPr>
          <w:rFonts w:ascii="Times New Roman" w:hAnsi="Times New Roman"/>
          <w:color w:val="000000" w:themeColor="text1"/>
          <w:sz w:val="24"/>
          <w:szCs w:val="24"/>
          <w:lang w:val="es-ES_tradnl"/>
        </w:rPr>
        <w:t>expresión</w:t>
      </w:r>
      <w:r w:rsidR="00C13D15" w:rsidRPr="00C13D15">
        <w:rPr>
          <w:rFonts w:ascii="Times New Roman" w:hAnsi="Times New Roman"/>
          <w:color w:val="000000" w:themeColor="text1"/>
          <w:sz w:val="24"/>
          <w:szCs w:val="24"/>
          <w:lang w:val="es-ES_tradnl"/>
        </w:rPr>
        <w:t xml:space="preserve">, privacidad y preservación de identidad. </w:t>
      </w:r>
    </w:p>
    <w:p w14:paraId="6CD17E6B" w14:textId="41A8B5C3" w:rsidR="00724AF2" w:rsidRPr="006C60C7" w:rsidRDefault="007A3AE8" w:rsidP="006C60C7">
      <w:pPr>
        <w:pStyle w:val="NormalWeb"/>
        <w:jc w:val="both"/>
        <w:rPr>
          <w:rFonts w:ascii="Times New Roman" w:hAnsi="Times New Roman"/>
          <w:b/>
          <w:sz w:val="24"/>
          <w:szCs w:val="24"/>
          <w:lang w:val="es-ES_tradnl"/>
        </w:rPr>
      </w:pPr>
      <w:r w:rsidRPr="006C60C7">
        <w:rPr>
          <w:rFonts w:ascii="Times New Roman" w:hAnsi="Times New Roman"/>
          <w:b/>
          <w:color w:val="000000" w:themeColor="text1"/>
          <w:sz w:val="28"/>
          <w:szCs w:val="28"/>
          <w:lang w:val="es-ES_tradnl"/>
        </w:rPr>
        <w:t>Recomendaciones</w:t>
      </w:r>
    </w:p>
    <w:p w14:paraId="5DB39D68" w14:textId="48D52E86" w:rsidR="00724AF2" w:rsidRPr="009B0311" w:rsidRDefault="004E50BF" w:rsidP="00724AF2">
      <w:pPr>
        <w:pStyle w:val="Prrafodelista"/>
        <w:numPr>
          <w:ilvl w:val="0"/>
          <w:numId w:val="12"/>
        </w:numPr>
        <w:rPr>
          <w:rFonts w:ascii="Times New Roman" w:hAnsi="Times New Roman" w:cs="Times New Roman"/>
          <w:lang w:val="es-ES_tradnl"/>
        </w:rPr>
      </w:pPr>
      <w:r>
        <w:rPr>
          <w:rFonts w:ascii="Times New Roman" w:hAnsi="Times New Roman" w:cs="Times New Roman"/>
          <w:lang w:val="es-ES_tradnl"/>
        </w:rPr>
        <w:t xml:space="preserve">Aprobar </w:t>
      </w:r>
      <w:r w:rsidR="00724AF2" w:rsidRPr="0052028E">
        <w:rPr>
          <w:rFonts w:ascii="Times New Roman" w:hAnsi="Times New Roman" w:cs="Times New Roman"/>
          <w:lang w:val="es-ES_tradnl"/>
        </w:rPr>
        <w:t>la Ley de Identidad de Género</w:t>
      </w:r>
      <w:r w:rsidR="00FB2BF6" w:rsidRPr="0052028E">
        <w:rPr>
          <w:rFonts w:ascii="Times New Roman" w:hAnsi="Times New Roman" w:cs="Times New Roman"/>
          <w:lang w:val="es-ES_tradnl"/>
        </w:rPr>
        <w:t xml:space="preserve"> (Boletín No. </w:t>
      </w:r>
      <w:r w:rsidR="00FB2BF6" w:rsidRPr="0052028E">
        <w:rPr>
          <w:rFonts w:ascii="Times New Roman" w:hAnsi="Times New Roman" w:cs="Times New Roman"/>
          <w:color w:val="000000" w:themeColor="text1"/>
        </w:rPr>
        <w:t>8.924-07)</w:t>
      </w:r>
    </w:p>
    <w:p w14:paraId="00C50704" w14:textId="77777777" w:rsidR="009B0311" w:rsidRPr="0052028E" w:rsidRDefault="009B0311" w:rsidP="009B0311">
      <w:pPr>
        <w:pStyle w:val="Prrafodelista"/>
        <w:rPr>
          <w:rFonts w:ascii="Times New Roman" w:hAnsi="Times New Roman" w:cs="Times New Roman"/>
          <w:lang w:val="es-ES_tradnl"/>
        </w:rPr>
      </w:pPr>
    </w:p>
    <w:p w14:paraId="022D9CDB" w14:textId="60B6CBB9" w:rsidR="00724AF2" w:rsidRPr="0052028E" w:rsidRDefault="00FB2BF6" w:rsidP="00724AF2">
      <w:pPr>
        <w:pStyle w:val="Prrafodelista"/>
        <w:numPr>
          <w:ilvl w:val="0"/>
          <w:numId w:val="12"/>
        </w:numPr>
        <w:rPr>
          <w:rFonts w:ascii="Times New Roman" w:hAnsi="Times New Roman" w:cs="Times New Roman"/>
          <w:lang w:val="es-ES_tradnl"/>
        </w:rPr>
      </w:pPr>
      <w:r w:rsidRPr="0052028E">
        <w:rPr>
          <w:rFonts w:ascii="Times New Roman" w:hAnsi="Times New Roman" w:cs="Times New Roman"/>
          <w:lang w:val="es-ES_tradnl"/>
        </w:rPr>
        <w:t xml:space="preserve">Desarrollar e implementar capacitaciones a oficiales del gobierno en todo nivel en relación al proyecto de ley que reconoce la Identidad de Género, a fin de asegurar que todo NNA es reconocido como ciudadano y sujeto de derechos, incluyendo el derecho a una vida digna. Tales capacitaciones deben tener como objeto la sensibilización de jueces a fin de limitar su discreción cuando deban determinar si una persona puede cambiar su nombre o sexo. </w:t>
      </w:r>
    </w:p>
    <w:p w14:paraId="74974FB4" w14:textId="0051DAE0" w:rsidR="00724AF2" w:rsidRPr="006C60C7" w:rsidRDefault="00724AF2" w:rsidP="006C60C7">
      <w:pPr>
        <w:pStyle w:val="Ttulo1"/>
        <w:rPr>
          <w:rFonts w:ascii="Times New Roman" w:hAnsi="Times New Roman" w:cs="Times New Roman"/>
          <w:color w:val="000000" w:themeColor="text1"/>
          <w:sz w:val="28"/>
          <w:szCs w:val="28"/>
          <w:lang w:val="es-ES_tradnl"/>
        </w:rPr>
      </w:pPr>
      <w:bookmarkStart w:id="10" w:name="_Toc298099167"/>
      <w:r w:rsidRPr="00AC72FD">
        <w:rPr>
          <w:rFonts w:ascii="Times New Roman" w:hAnsi="Times New Roman" w:cs="Times New Roman"/>
          <w:color w:val="000000" w:themeColor="text1"/>
          <w:sz w:val="28"/>
          <w:szCs w:val="28"/>
          <w:lang w:val="es-ES_tradnl"/>
        </w:rPr>
        <w:t xml:space="preserve">III. </w:t>
      </w:r>
      <w:r w:rsidR="00B50ABD" w:rsidRPr="00AC72FD">
        <w:rPr>
          <w:rFonts w:ascii="Times New Roman" w:hAnsi="Times New Roman" w:cs="Times New Roman"/>
          <w:color w:val="000000" w:themeColor="text1"/>
          <w:sz w:val="28"/>
          <w:szCs w:val="28"/>
          <w:lang w:val="es-ES_tradnl"/>
        </w:rPr>
        <w:t xml:space="preserve">Educación </w:t>
      </w:r>
      <w:r w:rsidRPr="00AC72FD">
        <w:rPr>
          <w:rFonts w:ascii="Times New Roman" w:hAnsi="Times New Roman" w:cs="Times New Roman"/>
          <w:color w:val="000000" w:themeColor="text1"/>
          <w:sz w:val="28"/>
          <w:szCs w:val="28"/>
          <w:lang w:val="es-ES_tradnl"/>
        </w:rPr>
        <w:t>(artículo 28 par 2 y artículo 29)</w:t>
      </w:r>
      <w:bookmarkEnd w:id="10"/>
    </w:p>
    <w:p w14:paraId="6BD9AA91" w14:textId="32B3F0ED" w:rsidR="00724AF2" w:rsidRPr="0052028E" w:rsidRDefault="00724AF2" w:rsidP="00724AF2">
      <w:pPr>
        <w:pStyle w:val="Ttulo2"/>
        <w:rPr>
          <w:rFonts w:ascii="Times New Roman" w:hAnsi="Times New Roman" w:cs="Times New Roman"/>
          <w:color w:val="000000" w:themeColor="text1"/>
          <w:lang w:val="es-ES_tradnl"/>
        </w:rPr>
      </w:pPr>
      <w:bookmarkStart w:id="11" w:name="_Toc298099168"/>
      <w:r w:rsidRPr="0052028E">
        <w:rPr>
          <w:rFonts w:ascii="Times New Roman" w:hAnsi="Times New Roman" w:cs="Times New Roman"/>
          <w:color w:val="000000" w:themeColor="text1"/>
          <w:lang w:val="es-ES_tradnl"/>
        </w:rPr>
        <w:t>1. Los niños, niñas y adolescentes trans</w:t>
      </w:r>
      <w:r w:rsidR="00024FFF">
        <w:rPr>
          <w:rFonts w:ascii="Times New Roman" w:hAnsi="Times New Roman" w:cs="Times New Roman"/>
          <w:color w:val="000000" w:themeColor="text1"/>
          <w:lang w:val="es-ES_tradnl"/>
        </w:rPr>
        <w:t>género</w:t>
      </w:r>
      <w:r w:rsidRPr="0052028E">
        <w:rPr>
          <w:rFonts w:ascii="Times New Roman" w:hAnsi="Times New Roman" w:cs="Times New Roman"/>
          <w:color w:val="000000" w:themeColor="text1"/>
          <w:lang w:val="es-ES_tradnl"/>
        </w:rPr>
        <w:t xml:space="preserve"> son constantemente privados del derecho a la educación.</w:t>
      </w:r>
      <w:bookmarkEnd w:id="11"/>
      <w:r w:rsidRPr="0052028E">
        <w:rPr>
          <w:rFonts w:ascii="Times New Roman" w:hAnsi="Times New Roman" w:cs="Times New Roman"/>
          <w:color w:val="000000" w:themeColor="text1"/>
          <w:lang w:val="es-ES_tradnl"/>
        </w:rPr>
        <w:t xml:space="preserve"> </w:t>
      </w:r>
    </w:p>
    <w:p w14:paraId="3210B84D" w14:textId="77201F9F" w:rsidR="009B0311" w:rsidRDefault="005244E0" w:rsidP="00B132B8">
      <w:pPr>
        <w:pStyle w:val="NormalWeb"/>
        <w:jc w:val="both"/>
        <w:rPr>
          <w:rFonts w:ascii="Times New Roman" w:hAnsi="Times New Roman"/>
          <w:sz w:val="24"/>
          <w:szCs w:val="24"/>
          <w:lang w:val="es-ES_tradnl"/>
        </w:rPr>
      </w:pPr>
      <w:r>
        <w:rPr>
          <w:rFonts w:ascii="Times New Roman" w:hAnsi="Times New Roman"/>
          <w:sz w:val="24"/>
          <w:szCs w:val="24"/>
          <w:lang w:val="es-ES_tradnl"/>
        </w:rPr>
        <w:t xml:space="preserve">Los </w:t>
      </w:r>
      <w:r w:rsidR="00260DCB" w:rsidRPr="0052028E">
        <w:rPr>
          <w:rFonts w:ascii="Times New Roman" w:hAnsi="Times New Roman"/>
          <w:sz w:val="24"/>
          <w:szCs w:val="24"/>
          <w:lang w:val="es-ES_tradnl"/>
        </w:rPr>
        <w:t>niños, niñas y adolescentes trans</w:t>
      </w:r>
      <w:r w:rsidR="00024FFF">
        <w:rPr>
          <w:rFonts w:ascii="Times New Roman" w:hAnsi="Times New Roman"/>
          <w:sz w:val="24"/>
          <w:szCs w:val="24"/>
          <w:lang w:val="es-ES_tradnl"/>
        </w:rPr>
        <w:t>género</w:t>
      </w:r>
      <w:r w:rsidR="00260DCB" w:rsidRPr="0052028E">
        <w:rPr>
          <w:rFonts w:ascii="Times New Roman" w:hAnsi="Times New Roman"/>
          <w:sz w:val="24"/>
          <w:szCs w:val="24"/>
          <w:lang w:val="es-ES_tradnl"/>
        </w:rPr>
        <w:t xml:space="preserve"> se enfrentan múltiples barreras en el ámbito educativo. En Chile el 60% de la población trans</w:t>
      </w:r>
      <w:r w:rsidR="00024FFF">
        <w:rPr>
          <w:rFonts w:ascii="Times New Roman" w:hAnsi="Times New Roman"/>
          <w:sz w:val="24"/>
          <w:szCs w:val="24"/>
          <w:lang w:val="es-ES_tradnl"/>
        </w:rPr>
        <w:t>género</w:t>
      </w:r>
      <w:r w:rsidR="00260DCB" w:rsidRPr="0052028E">
        <w:rPr>
          <w:rFonts w:ascii="Times New Roman" w:hAnsi="Times New Roman"/>
          <w:sz w:val="24"/>
          <w:szCs w:val="24"/>
          <w:lang w:val="es-ES_tradnl"/>
        </w:rPr>
        <w:t xml:space="preserve"> no ha culminado estudios que superen la educación básica.</w:t>
      </w:r>
      <w:r w:rsidR="00260DCB" w:rsidRPr="0052028E">
        <w:rPr>
          <w:rStyle w:val="Refdenotaalpie"/>
          <w:rFonts w:ascii="Times New Roman" w:hAnsi="Times New Roman"/>
          <w:sz w:val="24"/>
          <w:szCs w:val="24"/>
          <w:lang w:val="es-ES_tradnl"/>
        </w:rPr>
        <w:footnoteReference w:id="37"/>
      </w:r>
      <w:r w:rsidR="00260DCB" w:rsidRPr="0052028E">
        <w:rPr>
          <w:rFonts w:ascii="Times New Roman" w:hAnsi="Times New Roman"/>
          <w:sz w:val="24"/>
          <w:szCs w:val="24"/>
          <w:lang w:val="es-ES_tradnl"/>
        </w:rPr>
        <w:t>Así mismo, solamente en la ciudad de Santiago, el 81.2% de la población trans</w:t>
      </w:r>
      <w:r w:rsidR="00024FFF">
        <w:rPr>
          <w:rFonts w:ascii="Times New Roman" w:hAnsi="Times New Roman"/>
          <w:sz w:val="24"/>
          <w:szCs w:val="24"/>
          <w:lang w:val="es-ES_tradnl"/>
        </w:rPr>
        <w:t>género</w:t>
      </w:r>
      <w:r w:rsidR="00260DCB" w:rsidRPr="0052028E">
        <w:rPr>
          <w:rFonts w:ascii="Times New Roman" w:hAnsi="Times New Roman"/>
          <w:sz w:val="24"/>
          <w:szCs w:val="24"/>
          <w:lang w:val="es-ES_tradnl"/>
        </w:rPr>
        <w:t xml:space="preserve"> no ha podido acceder a la educación superior.</w:t>
      </w:r>
      <w:r w:rsidR="00260DCB" w:rsidRPr="0052028E">
        <w:rPr>
          <w:rStyle w:val="Refdenotaalpie"/>
          <w:rFonts w:ascii="Times New Roman" w:hAnsi="Times New Roman"/>
          <w:sz w:val="24"/>
          <w:szCs w:val="24"/>
          <w:lang w:val="es-ES_tradnl"/>
        </w:rPr>
        <w:footnoteReference w:id="38"/>
      </w:r>
      <w:r w:rsidR="00141B98" w:rsidRPr="0052028E">
        <w:rPr>
          <w:rFonts w:ascii="Times New Roman" w:hAnsi="Times New Roman"/>
          <w:sz w:val="24"/>
          <w:szCs w:val="24"/>
          <w:lang w:val="es-ES_tradnl"/>
        </w:rPr>
        <w:t xml:space="preserve"> Estas drásticas cifras surgen de los patrones nocivos de discriminación que se dan dentro de las escuelas. Los niños y niñas transgénero son víctimas de </w:t>
      </w:r>
      <w:r w:rsidR="00141B98" w:rsidRPr="00024FFF">
        <w:rPr>
          <w:rFonts w:ascii="Times New Roman" w:hAnsi="Times New Roman"/>
          <w:i/>
          <w:sz w:val="24"/>
          <w:szCs w:val="24"/>
          <w:lang w:val="es-ES_tradnl"/>
        </w:rPr>
        <w:t>bullying</w:t>
      </w:r>
      <w:r w:rsidR="00141B98" w:rsidRPr="0052028E">
        <w:rPr>
          <w:rFonts w:ascii="Times New Roman" w:hAnsi="Times New Roman"/>
          <w:sz w:val="24"/>
          <w:szCs w:val="24"/>
          <w:lang w:val="es-ES_tradnl"/>
        </w:rPr>
        <w:t xml:space="preserve"> escolar y las prácticas de discriminación que viven a diario están sustentadas por ideologías culturales profundamente binarias y transfóbicas. Los efectos de la discriminación y la violencia pueden ser prolongados a lo largo de toda la niñez e incluso extenderse hacia la adultez. Las consecuencias, con frecuencia, pueden incluir el suicidio.</w:t>
      </w:r>
      <w:r w:rsidR="00141B98" w:rsidRPr="0052028E">
        <w:rPr>
          <w:rStyle w:val="Refdenotaalpie"/>
          <w:rFonts w:ascii="Times New Roman" w:hAnsi="Times New Roman"/>
          <w:sz w:val="24"/>
          <w:szCs w:val="24"/>
          <w:lang w:val="es-ES_tradnl"/>
        </w:rPr>
        <w:footnoteReference w:id="39"/>
      </w:r>
    </w:p>
    <w:p w14:paraId="5D2E3970" w14:textId="564F1D32" w:rsidR="00260DCB" w:rsidRPr="0052028E" w:rsidRDefault="005244E0" w:rsidP="00B132B8">
      <w:pPr>
        <w:pStyle w:val="NormalWeb"/>
        <w:jc w:val="both"/>
        <w:rPr>
          <w:rFonts w:ascii="Times New Roman" w:hAnsi="Times New Roman"/>
          <w:sz w:val="24"/>
          <w:szCs w:val="24"/>
          <w:lang w:val="es-ES_tradnl"/>
        </w:rPr>
      </w:pPr>
      <w:r w:rsidRPr="00B23757">
        <w:rPr>
          <w:rFonts w:ascii="Times New Roman" w:hAnsi="Times New Roman"/>
          <w:b/>
          <w:noProof/>
          <w:sz w:val="24"/>
          <w:szCs w:val="24"/>
          <w:lang w:val="es-ES"/>
        </w:rPr>
        <mc:AlternateContent>
          <mc:Choice Requires="wps">
            <w:drawing>
              <wp:anchor distT="0" distB="0" distL="114300" distR="114300" simplePos="0" relativeHeight="251659264" behindDoc="0" locked="0" layoutInCell="1" allowOverlap="1" wp14:anchorId="505B362F" wp14:editId="774AEA30">
                <wp:simplePos x="0" y="0"/>
                <wp:positionH relativeFrom="column">
                  <wp:posOffset>-114300</wp:posOffset>
                </wp:positionH>
                <wp:positionV relativeFrom="paragraph">
                  <wp:posOffset>411480</wp:posOffset>
                </wp:positionV>
                <wp:extent cx="5600700" cy="2743200"/>
                <wp:effectExtent l="0" t="0" r="38100" b="25400"/>
                <wp:wrapSquare wrapText="bothSides"/>
                <wp:docPr id="1" name="Cuadro de texto 1"/>
                <wp:cNvGraphicFramePr/>
                <a:graphic xmlns:a="http://schemas.openxmlformats.org/drawingml/2006/main">
                  <a:graphicData uri="http://schemas.microsoft.com/office/word/2010/wordprocessingShape">
                    <wps:wsp>
                      <wps:cNvSpPr txBox="1"/>
                      <wps:spPr>
                        <a:xfrm>
                          <a:off x="0" y="0"/>
                          <a:ext cx="56007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5A6E1F" w14:textId="77777777" w:rsidR="007975EE" w:rsidRDefault="007975EE" w:rsidP="00B56A26">
                            <w:pPr>
                              <w:rPr>
                                <w:rFonts w:ascii="Times" w:eastAsia="Times New Roman" w:hAnsi="Times" w:cs="Times New Roman"/>
                                <w:sz w:val="20"/>
                                <w:szCs w:val="20"/>
                                <w:lang w:val="es-ES_tradnl"/>
                              </w:rPr>
                            </w:pPr>
                          </w:p>
                          <w:p w14:paraId="69E5AD50" w14:textId="3965CA28" w:rsidR="007975EE" w:rsidRDefault="007975EE" w:rsidP="00B56A26">
                            <w:pPr>
                              <w:jc w:val="center"/>
                              <w:rPr>
                                <w:rFonts w:ascii="Times" w:eastAsia="Times New Roman" w:hAnsi="Times" w:cs="Times New Roman"/>
                                <w:sz w:val="20"/>
                                <w:szCs w:val="20"/>
                                <w:lang w:val="es-ES_tradnl"/>
                              </w:rPr>
                            </w:pPr>
                            <w:r w:rsidRPr="00C35E43">
                              <w:rPr>
                                <w:rFonts w:ascii="Times" w:eastAsia="Times New Roman" w:hAnsi="Times" w:cs="Times New Roman"/>
                                <w:sz w:val="20"/>
                                <w:szCs w:val="20"/>
                                <w:u w:val="single"/>
                                <w:lang w:val="es-ES_tradnl"/>
                              </w:rPr>
                              <w:t>Andy</w:t>
                            </w:r>
                            <w:r>
                              <w:rPr>
                                <w:rFonts w:ascii="Times" w:eastAsia="Times New Roman" w:hAnsi="Times" w:cs="Times New Roman"/>
                                <w:sz w:val="20"/>
                                <w:szCs w:val="20"/>
                                <w:lang w:val="es-ES_tradnl"/>
                              </w:rPr>
                              <w:t>*</w:t>
                            </w:r>
                          </w:p>
                          <w:p w14:paraId="2B36CA21" w14:textId="77777777" w:rsidR="007975EE" w:rsidRDefault="007975EE" w:rsidP="00B56A26">
                            <w:pPr>
                              <w:rPr>
                                <w:rFonts w:ascii="Times" w:eastAsia="Times New Roman" w:hAnsi="Times" w:cs="Times New Roman"/>
                                <w:sz w:val="20"/>
                                <w:szCs w:val="20"/>
                                <w:lang w:val="es-ES_tradnl"/>
                              </w:rPr>
                            </w:pPr>
                          </w:p>
                          <w:p w14:paraId="637A7DE0" w14:textId="41C10B21" w:rsidR="007975EE" w:rsidRDefault="007975EE" w:rsidP="00A731C6">
                            <w:pPr>
                              <w:jc w:val="both"/>
                              <w:rPr>
                                <w:rFonts w:ascii="Times" w:eastAsia="Times New Roman" w:hAnsi="Times" w:cs="Times New Roman"/>
                                <w:sz w:val="20"/>
                                <w:szCs w:val="20"/>
                                <w:lang w:val="es-ES_tradnl"/>
                              </w:rPr>
                            </w:pPr>
                            <w:r w:rsidRPr="00B56A26">
                              <w:rPr>
                                <w:rFonts w:ascii="Times" w:eastAsia="Times New Roman" w:hAnsi="Times" w:cs="Times New Roman"/>
                                <w:sz w:val="20"/>
                                <w:szCs w:val="20"/>
                                <w:lang w:val="es-ES_tradnl"/>
                              </w:rPr>
                              <w:t xml:space="preserve">Al nacer, a Andy le asignaron un sexo masculino y el nombre Baltazar en su registro de identidad. Cuando aprendió a hablar, empezó a referirse a sí misma como “ella”. Un día le preguntó a su madre por qué dios la había hecho niño, cuando ella realmente </w:t>
                            </w:r>
                            <w:r>
                              <w:rPr>
                                <w:rFonts w:ascii="Times" w:eastAsia="Times New Roman" w:hAnsi="Times" w:cs="Times New Roman"/>
                                <w:sz w:val="20"/>
                                <w:szCs w:val="20"/>
                                <w:lang w:val="es-ES_tradnl"/>
                              </w:rPr>
                              <w:t>se identificaba como</w:t>
                            </w:r>
                            <w:r w:rsidRPr="00B56A26">
                              <w:rPr>
                                <w:rFonts w:ascii="Times" w:eastAsia="Times New Roman" w:hAnsi="Times" w:cs="Times New Roman"/>
                                <w:sz w:val="20"/>
                                <w:szCs w:val="20"/>
                                <w:lang w:val="es-ES_tradnl"/>
                              </w:rPr>
                              <w:t xml:space="preserve"> niña. A medida que fue creciendo, sus padres notaron que no estaba conforma con la identidad de género que le había sido impuesta; a Andy le disgustaba dejar su casa y rechazaba juegos tradicionalmente asociados con un niño. Su familia decidió buscar ayuda y eventualmente decidieron apoyarlo en su decisión de identificarse con la identidad de género con la cual Andy sentía adecuada. Sus padres presentaron certificados médicos solicitando que el colegio Pumahue en Chicureo permitiera a su hija utilizar el uniforme y el baño asignado para niñas, así como también pidiendo que la llamaran por el nombre escogido</w:t>
                            </w:r>
                            <w:r>
                              <w:rPr>
                                <w:rFonts w:ascii="Times" w:eastAsia="Times New Roman" w:hAnsi="Times" w:cs="Times New Roman"/>
                                <w:sz w:val="20"/>
                                <w:szCs w:val="20"/>
                                <w:lang w:val="es-ES_tradnl"/>
                              </w:rPr>
                              <w:t xml:space="preserve"> por ella</w:t>
                            </w:r>
                            <w:r w:rsidRPr="00B56A26">
                              <w:rPr>
                                <w:rFonts w:ascii="Times" w:eastAsia="Times New Roman" w:hAnsi="Times" w:cs="Times New Roman"/>
                                <w:sz w:val="20"/>
                                <w:szCs w:val="20"/>
                                <w:lang w:val="es-ES_tradnl"/>
                              </w:rPr>
                              <w:t xml:space="preserve">. Sin embargo, el colegio respondió que no podía aceptar a Andy en la institución, y argumentó afirmando que querían proteger a “Baltazar” en contra de cualquier discriminación arbitraria por parte de sus compañeros y compañeras. A partir de esto, sus padres pusieron una demanda civil contra la institución, siendo esta la primera que aboga por el derecho que tienen los niños, niñas y adolescentes de preservar su identidad de género. </w:t>
                            </w:r>
                          </w:p>
                          <w:p w14:paraId="4663AB46" w14:textId="77777777" w:rsidR="007975EE" w:rsidRPr="00A731C6" w:rsidRDefault="007975EE" w:rsidP="00A731C6">
                            <w:pPr>
                              <w:jc w:val="both"/>
                              <w:rPr>
                                <w:rFonts w:ascii="Times" w:eastAsia="Times New Roman" w:hAnsi="Times" w:cs="Times New Roman"/>
                                <w:sz w:val="20"/>
                                <w:szCs w:val="20"/>
                                <w:lang w:val="es-ES_tradnl"/>
                              </w:rPr>
                            </w:pPr>
                          </w:p>
                          <w:p w14:paraId="11092E4F" w14:textId="55F9869C" w:rsidR="007975EE" w:rsidRDefault="007975EE">
                            <w:r>
                              <w:t xml:space="preserve">* </w:t>
                            </w:r>
                            <w:r>
                              <w:rPr>
                                <w:sz w:val="16"/>
                                <w:szCs w:val="16"/>
                              </w:rPr>
                              <w:t xml:space="preserve">Disponible en: </w:t>
                            </w:r>
                            <w:r w:rsidRPr="004E6CFD">
                              <w:rPr>
                                <w:sz w:val="16"/>
                                <w:szCs w:val="16"/>
                              </w:rPr>
                              <w:t>http://www.13.cl/programas/contacto-t25/capitulos/mi-hija-es-transgenero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8.95pt;margin-top:32.4pt;width:441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" fillcolor="white [3201]" strokecolor="black [3200]" strokeweight="2pt">
                <v:textbox>
                  <w:txbxContent>
                    <w:p w14:paraId="565A6E1F" w14:textId="77777777" w:rsidR="007975EE" w:rsidRDefault="007975EE" w:rsidP="00B56A26">
                      <w:pPr>
                        <w:rPr>
                          <w:rFonts w:ascii="Times" w:eastAsia="Times New Roman" w:hAnsi="Times" w:cs="Times New Roman"/>
                          <w:sz w:val="20"/>
                          <w:szCs w:val="20"/>
                          <w:lang w:val="es-ES_tradnl"/>
                        </w:rPr>
                      </w:pPr>
                    </w:p>
                    <w:p w14:paraId="69E5AD50" w14:textId="3965CA28" w:rsidR="007975EE" w:rsidRDefault="007975EE" w:rsidP="00B56A26">
                      <w:pPr>
                        <w:jc w:val="center"/>
                        <w:rPr>
                          <w:rFonts w:ascii="Times" w:eastAsia="Times New Roman" w:hAnsi="Times" w:cs="Times New Roman"/>
                          <w:sz w:val="20"/>
                          <w:szCs w:val="20"/>
                          <w:lang w:val="es-ES_tradnl"/>
                        </w:rPr>
                      </w:pPr>
                      <w:r w:rsidRPr="00C35E43">
                        <w:rPr>
                          <w:rFonts w:ascii="Times" w:eastAsia="Times New Roman" w:hAnsi="Times" w:cs="Times New Roman"/>
                          <w:sz w:val="20"/>
                          <w:szCs w:val="20"/>
                          <w:u w:val="single"/>
                          <w:lang w:val="es-ES_tradnl"/>
                        </w:rPr>
                        <w:t>Andy</w:t>
                      </w:r>
                      <w:r>
                        <w:rPr>
                          <w:rFonts w:ascii="Times" w:eastAsia="Times New Roman" w:hAnsi="Times" w:cs="Times New Roman"/>
                          <w:sz w:val="20"/>
                          <w:szCs w:val="20"/>
                          <w:lang w:val="es-ES_tradnl"/>
                        </w:rPr>
                        <w:t>*</w:t>
                      </w:r>
                    </w:p>
                    <w:p w14:paraId="2B36CA21" w14:textId="77777777" w:rsidR="007975EE" w:rsidRDefault="007975EE" w:rsidP="00B56A26">
                      <w:pPr>
                        <w:rPr>
                          <w:rFonts w:ascii="Times" w:eastAsia="Times New Roman" w:hAnsi="Times" w:cs="Times New Roman"/>
                          <w:sz w:val="20"/>
                          <w:szCs w:val="20"/>
                          <w:lang w:val="es-ES_tradnl"/>
                        </w:rPr>
                      </w:pPr>
                    </w:p>
                    <w:p w14:paraId="637A7DE0" w14:textId="41C10B21" w:rsidR="007975EE" w:rsidRDefault="007975EE" w:rsidP="00A731C6">
                      <w:pPr>
                        <w:jc w:val="both"/>
                        <w:rPr>
                          <w:rFonts w:ascii="Times" w:eastAsia="Times New Roman" w:hAnsi="Times" w:cs="Times New Roman"/>
                          <w:sz w:val="20"/>
                          <w:szCs w:val="20"/>
                          <w:lang w:val="es-ES_tradnl"/>
                        </w:rPr>
                      </w:pPr>
                      <w:r w:rsidRPr="00B56A26">
                        <w:rPr>
                          <w:rFonts w:ascii="Times" w:eastAsia="Times New Roman" w:hAnsi="Times" w:cs="Times New Roman"/>
                          <w:sz w:val="20"/>
                          <w:szCs w:val="20"/>
                          <w:lang w:val="es-ES_tradnl"/>
                        </w:rPr>
                        <w:t xml:space="preserve">Al nacer, a Andy le asignaron un sexo masculino y el nombre Baltazar en su registro de identidad. Cuando aprendió a hablar, empezó a referirse a sí misma como “ella”. Un día le preguntó a su madre por qué dios la había hecho niño, cuando ella realmente </w:t>
                      </w:r>
                      <w:r>
                        <w:rPr>
                          <w:rFonts w:ascii="Times" w:eastAsia="Times New Roman" w:hAnsi="Times" w:cs="Times New Roman"/>
                          <w:sz w:val="20"/>
                          <w:szCs w:val="20"/>
                          <w:lang w:val="es-ES_tradnl"/>
                        </w:rPr>
                        <w:t>se identificaba como</w:t>
                      </w:r>
                      <w:r w:rsidRPr="00B56A26">
                        <w:rPr>
                          <w:rFonts w:ascii="Times" w:eastAsia="Times New Roman" w:hAnsi="Times" w:cs="Times New Roman"/>
                          <w:sz w:val="20"/>
                          <w:szCs w:val="20"/>
                          <w:lang w:val="es-ES_tradnl"/>
                        </w:rPr>
                        <w:t xml:space="preserve"> niña. A medida que fue creciendo, sus padres notaron que no estaba conforma con la identidad de género que le había sido impuesta; a Andy le disgustaba dejar su casa y rechazaba juegos tradicionalmente asociados con un niño. Su familia decidió buscar ayuda y eventualmente decidieron apoyarlo en su decisión de identificarse con la identidad de género con la cual Andy sentía adecuada. Sus padres presentaron certificados médicos solicitando que el colegio Pumahue en Chicureo permitiera a su hija utilizar el uniforme y el baño asignado para niñas, así como también pidiendo que la llamaran por el nombre escogido</w:t>
                      </w:r>
                      <w:r>
                        <w:rPr>
                          <w:rFonts w:ascii="Times" w:eastAsia="Times New Roman" w:hAnsi="Times" w:cs="Times New Roman"/>
                          <w:sz w:val="20"/>
                          <w:szCs w:val="20"/>
                          <w:lang w:val="es-ES_tradnl"/>
                        </w:rPr>
                        <w:t xml:space="preserve"> por ella</w:t>
                      </w:r>
                      <w:r w:rsidRPr="00B56A26">
                        <w:rPr>
                          <w:rFonts w:ascii="Times" w:eastAsia="Times New Roman" w:hAnsi="Times" w:cs="Times New Roman"/>
                          <w:sz w:val="20"/>
                          <w:szCs w:val="20"/>
                          <w:lang w:val="es-ES_tradnl"/>
                        </w:rPr>
                        <w:t xml:space="preserve">. Sin embargo, el colegio respondió que no podía aceptar a Andy en la institución, y argumentó afirmando que querían proteger a “Baltazar” en contra de cualquier discriminación arbitraria por parte de sus compañeros y compañeras. A partir de esto, sus padres pusieron una demanda civil contra la institución, siendo esta la primera que aboga por el derecho que tienen los niños, niñas y adolescentes de preservar su identidad de género. </w:t>
                      </w:r>
                    </w:p>
                    <w:p w14:paraId="4663AB46" w14:textId="77777777" w:rsidR="007975EE" w:rsidRPr="00A731C6" w:rsidRDefault="007975EE" w:rsidP="00A731C6">
                      <w:pPr>
                        <w:jc w:val="both"/>
                        <w:rPr>
                          <w:rFonts w:ascii="Times" w:eastAsia="Times New Roman" w:hAnsi="Times" w:cs="Times New Roman"/>
                          <w:sz w:val="20"/>
                          <w:szCs w:val="20"/>
                          <w:lang w:val="es-ES_tradnl"/>
                        </w:rPr>
                      </w:pPr>
                    </w:p>
                    <w:p w14:paraId="11092E4F" w14:textId="55F9869C" w:rsidR="007975EE" w:rsidRDefault="007975EE">
                      <w:r>
                        <w:t xml:space="preserve">* </w:t>
                      </w:r>
                      <w:r>
                        <w:rPr>
                          <w:sz w:val="16"/>
                          <w:szCs w:val="16"/>
                        </w:rPr>
                        <w:t xml:space="preserve">Disponible en: </w:t>
                      </w:r>
                      <w:r w:rsidRPr="004E6CFD">
                        <w:rPr>
                          <w:sz w:val="16"/>
                          <w:szCs w:val="16"/>
                        </w:rPr>
                        <w:t>http://www.13.cl/programas/contacto-t25/capitulos/mi-hija-es-transgenero</w:t>
                      </w:r>
                    </w:p>
                  </w:txbxContent>
                </v:textbox>
                <w10:wrap type="square"/>
              </v:shape>
            </w:pict>
          </mc:Fallback>
        </mc:AlternateContent>
      </w:r>
      <w:r w:rsidR="00260DCB" w:rsidRPr="0052028E">
        <w:rPr>
          <w:rFonts w:ascii="Times New Roman" w:hAnsi="Times New Roman"/>
          <w:sz w:val="24"/>
          <w:szCs w:val="24"/>
          <w:lang w:val="es-ES_tradnl"/>
        </w:rPr>
        <w:t xml:space="preserve">El siguiente caso ilustra la situación descrita: </w:t>
      </w:r>
    </w:p>
    <w:p w14:paraId="4159B018" w14:textId="02530D24" w:rsidR="00CC69CD" w:rsidRDefault="00CC69CD" w:rsidP="00B23757">
      <w:pPr>
        <w:pStyle w:val="NormalWeb"/>
        <w:jc w:val="both"/>
        <w:rPr>
          <w:rFonts w:ascii="Times New Roman" w:hAnsi="Times New Roman"/>
          <w:b/>
          <w:color w:val="000000" w:themeColor="text1"/>
          <w:sz w:val="28"/>
          <w:szCs w:val="28"/>
          <w:lang w:val="es-ES_tradnl"/>
        </w:rPr>
      </w:pPr>
    </w:p>
    <w:p w14:paraId="6A84049A" w14:textId="65B18872" w:rsidR="005244E0" w:rsidRPr="005244E0" w:rsidRDefault="005244E0" w:rsidP="00B23757">
      <w:pPr>
        <w:pStyle w:val="NormalWeb"/>
        <w:jc w:val="both"/>
        <w:rPr>
          <w:rFonts w:ascii="Times New Roman" w:hAnsi="Times New Roman"/>
          <w:sz w:val="24"/>
          <w:szCs w:val="24"/>
          <w:lang w:val="es-ES_tradnl"/>
        </w:rPr>
      </w:pPr>
      <w:r>
        <w:rPr>
          <w:rFonts w:ascii="Times New Roman" w:hAnsi="Times New Roman"/>
          <w:sz w:val="24"/>
          <w:szCs w:val="24"/>
          <w:lang w:val="es-ES_tradnl"/>
        </w:rPr>
        <w:t xml:space="preserve">La prevalencia de la discriminación y violencia que enfrentan las NNA transgénero dentro de los ambientes educativos impide su pleno desarrollo y su derecho a vivir dignamente. Las instituciones educativas deben fomentar el respeto por los derechos de cada niño, sin importar su orientación sexual e identidad de género, así como también deben estimular la libre expresión de cada estudiante. Al negar o no garantizar la permanencia en la educación de NNA transgénero, Chile está incurriendo en violaciones a los artículos 28 par. 2 y 29 de la presente Convención. </w:t>
      </w:r>
    </w:p>
    <w:p w14:paraId="4ED2CD9E" w14:textId="2C8F6F52" w:rsidR="00260DCB" w:rsidRPr="00B23757" w:rsidRDefault="00C35E43" w:rsidP="00B23757">
      <w:pPr>
        <w:pStyle w:val="NormalWeb"/>
        <w:jc w:val="both"/>
        <w:rPr>
          <w:rFonts w:ascii="Times New Roman" w:hAnsi="Times New Roman"/>
          <w:sz w:val="24"/>
          <w:szCs w:val="24"/>
          <w:lang w:val="es-ES_tradnl"/>
        </w:rPr>
      </w:pPr>
      <w:r w:rsidRPr="00B23757">
        <w:rPr>
          <w:rFonts w:ascii="Times New Roman" w:hAnsi="Times New Roman"/>
          <w:b/>
          <w:color w:val="000000" w:themeColor="text1"/>
          <w:sz w:val="28"/>
          <w:szCs w:val="28"/>
          <w:lang w:val="es-ES_tradnl"/>
        </w:rPr>
        <w:t>Recomendaciones</w:t>
      </w:r>
      <w:r w:rsidRPr="00AC72FD">
        <w:rPr>
          <w:rFonts w:ascii="Times New Roman" w:hAnsi="Times New Roman"/>
          <w:color w:val="000000" w:themeColor="text1"/>
          <w:sz w:val="28"/>
          <w:szCs w:val="28"/>
          <w:lang w:val="es-ES_tradnl"/>
        </w:rPr>
        <w:t>:</w:t>
      </w:r>
    </w:p>
    <w:p w14:paraId="2EC8F794" w14:textId="7880F5F1" w:rsidR="00054B81" w:rsidRPr="0052028E" w:rsidRDefault="00260DCB" w:rsidP="00054B81">
      <w:pPr>
        <w:pStyle w:val="Prrafodelista"/>
        <w:numPr>
          <w:ilvl w:val="0"/>
          <w:numId w:val="12"/>
        </w:numPr>
        <w:rPr>
          <w:rFonts w:ascii="Times New Roman" w:hAnsi="Times New Roman" w:cs="Times New Roman"/>
          <w:lang w:val="es-ES_tradnl"/>
        </w:rPr>
      </w:pPr>
      <w:r w:rsidRPr="0052028E">
        <w:rPr>
          <w:rFonts w:ascii="Times New Roman" w:hAnsi="Times New Roman" w:cs="Times New Roman"/>
          <w:lang w:val="es-ES_tradnl"/>
        </w:rPr>
        <w:t xml:space="preserve">Garantizar que </w:t>
      </w:r>
      <w:r w:rsidR="00054B81" w:rsidRPr="0052028E">
        <w:rPr>
          <w:rFonts w:ascii="Times New Roman" w:hAnsi="Times New Roman" w:cs="Times New Roman"/>
          <w:lang w:val="es-ES_tradnl"/>
        </w:rPr>
        <w:t xml:space="preserve">todo </w:t>
      </w:r>
      <w:r w:rsidR="00A731C6">
        <w:rPr>
          <w:rFonts w:ascii="Times New Roman" w:hAnsi="Times New Roman" w:cs="Times New Roman"/>
          <w:lang w:val="es-ES_tradnl"/>
        </w:rPr>
        <w:t>niño, niña y adolescente</w:t>
      </w:r>
      <w:r w:rsidR="00054B81" w:rsidRPr="0052028E">
        <w:rPr>
          <w:rFonts w:ascii="Times New Roman" w:hAnsi="Times New Roman" w:cs="Times New Roman"/>
          <w:lang w:val="es-ES_tradnl"/>
        </w:rPr>
        <w:t xml:space="preserve"> LGBT tenga acceso a la educación, sin</w:t>
      </w:r>
      <w:r w:rsidR="00A731C6">
        <w:rPr>
          <w:rFonts w:ascii="Times New Roman" w:hAnsi="Times New Roman" w:cs="Times New Roman"/>
          <w:lang w:val="es-ES_tradnl"/>
        </w:rPr>
        <w:t xml:space="preserve"> discriminaciones basadas en su orientación sexual o identidad de género percibidas o reales. </w:t>
      </w:r>
    </w:p>
    <w:p w14:paraId="3572055C" w14:textId="77777777" w:rsidR="00054B81" w:rsidRPr="0052028E" w:rsidRDefault="00054B81" w:rsidP="00054B81">
      <w:pPr>
        <w:pStyle w:val="Prrafodelista"/>
        <w:rPr>
          <w:rFonts w:ascii="Times New Roman" w:hAnsi="Times New Roman" w:cs="Times New Roman"/>
          <w:lang w:val="es-ES_tradnl"/>
        </w:rPr>
      </w:pPr>
    </w:p>
    <w:p w14:paraId="7296699F" w14:textId="098A3C4B" w:rsidR="00054B81" w:rsidRPr="0052028E" w:rsidRDefault="00054B81" w:rsidP="00054B81">
      <w:pPr>
        <w:pStyle w:val="Prrafodelista"/>
        <w:numPr>
          <w:ilvl w:val="0"/>
          <w:numId w:val="12"/>
        </w:numPr>
        <w:rPr>
          <w:rFonts w:ascii="Times New Roman" w:hAnsi="Times New Roman" w:cs="Times New Roman"/>
          <w:lang w:val="es-ES_tradnl"/>
        </w:rPr>
      </w:pPr>
      <w:r w:rsidRPr="0052028E">
        <w:rPr>
          <w:rFonts w:ascii="Times New Roman" w:hAnsi="Times New Roman" w:cs="Times New Roman"/>
          <w:lang w:val="es-ES_tradnl"/>
        </w:rPr>
        <w:t xml:space="preserve">Diseñar e implementar campañas que promuevan la aplicación efectiva del principio de no-discriminación dentro del sistema educativo, en relación a </w:t>
      </w:r>
      <w:r w:rsidR="00A731C6">
        <w:rPr>
          <w:rFonts w:ascii="Times New Roman" w:hAnsi="Times New Roman" w:cs="Times New Roman"/>
          <w:lang w:val="es-ES_tradnl"/>
        </w:rPr>
        <w:t>NNA</w:t>
      </w:r>
      <w:r w:rsidRPr="0052028E">
        <w:rPr>
          <w:rFonts w:ascii="Times New Roman" w:hAnsi="Times New Roman" w:cs="Times New Roman"/>
          <w:lang w:val="es-ES_tradnl"/>
        </w:rPr>
        <w:t xml:space="preserve"> trans</w:t>
      </w:r>
      <w:r w:rsidR="00141B98" w:rsidRPr="0052028E">
        <w:rPr>
          <w:rFonts w:ascii="Times New Roman" w:hAnsi="Times New Roman" w:cs="Times New Roman"/>
          <w:lang w:val="es-ES_tradnl"/>
        </w:rPr>
        <w:t>género</w:t>
      </w:r>
      <w:r w:rsidRPr="0052028E">
        <w:rPr>
          <w:rFonts w:ascii="Times New Roman" w:hAnsi="Times New Roman" w:cs="Times New Roman"/>
          <w:lang w:val="es-ES_tradnl"/>
        </w:rPr>
        <w:t xml:space="preserve"> dentro del sistema educativo, asegurando que sus voces sean escuchadas y respetadas. </w:t>
      </w:r>
    </w:p>
    <w:p w14:paraId="07092F38" w14:textId="77777777" w:rsidR="00141B98" w:rsidRPr="0052028E" w:rsidRDefault="00141B98" w:rsidP="00141B98">
      <w:pPr>
        <w:rPr>
          <w:rFonts w:ascii="Times New Roman" w:hAnsi="Times New Roman" w:cs="Times New Roman"/>
          <w:lang w:val="es-ES_tradnl"/>
        </w:rPr>
      </w:pPr>
    </w:p>
    <w:p w14:paraId="3F87326A" w14:textId="42EFC7EB" w:rsidR="00141B98" w:rsidRPr="0052028E" w:rsidRDefault="00141B98" w:rsidP="00054B81">
      <w:pPr>
        <w:pStyle w:val="Prrafodelista"/>
        <w:numPr>
          <w:ilvl w:val="0"/>
          <w:numId w:val="12"/>
        </w:numPr>
        <w:rPr>
          <w:rFonts w:ascii="Times New Roman" w:hAnsi="Times New Roman" w:cs="Times New Roman"/>
          <w:lang w:val="es-ES_tradnl"/>
        </w:rPr>
      </w:pPr>
      <w:r w:rsidRPr="0052028E">
        <w:rPr>
          <w:rFonts w:ascii="Times New Roman" w:hAnsi="Times New Roman" w:cs="Times New Roman"/>
          <w:lang w:val="es-ES_tradnl"/>
        </w:rPr>
        <w:t xml:space="preserve">Proveer capacitaciones y sensibilizaciones </w:t>
      </w:r>
      <w:r w:rsidR="00A731C6">
        <w:rPr>
          <w:rFonts w:ascii="Times New Roman" w:hAnsi="Times New Roman" w:cs="Times New Roman"/>
          <w:lang w:val="es-ES_tradnl"/>
        </w:rPr>
        <w:t>apropiadas a profesores, con el objeto de reducir</w:t>
      </w:r>
      <w:r w:rsidRPr="0052028E">
        <w:rPr>
          <w:rFonts w:ascii="Times New Roman" w:hAnsi="Times New Roman" w:cs="Times New Roman"/>
          <w:lang w:val="es-ES_tradnl"/>
        </w:rPr>
        <w:t xml:space="preserve"> toda discriminación hacia NNA transgénero en las escuelas. </w:t>
      </w:r>
    </w:p>
    <w:p w14:paraId="0C92462F" w14:textId="0E3745FA" w:rsidR="00C35E43" w:rsidRPr="00CC69CD" w:rsidRDefault="00260DCB" w:rsidP="00AC72FD">
      <w:pPr>
        <w:pStyle w:val="Ttulo1"/>
        <w:rPr>
          <w:rFonts w:ascii="Times New Roman" w:hAnsi="Times New Roman" w:cs="Times New Roman"/>
          <w:color w:val="000000" w:themeColor="text1"/>
          <w:sz w:val="28"/>
          <w:szCs w:val="28"/>
          <w:lang w:val="es-ES_tradnl"/>
        </w:rPr>
      </w:pPr>
      <w:bookmarkStart w:id="12" w:name="_Toc298099169"/>
      <w:r w:rsidRPr="00CC69CD">
        <w:rPr>
          <w:rFonts w:ascii="Times New Roman" w:hAnsi="Times New Roman" w:cs="Times New Roman"/>
          <w:color w:val="000000" w:themeColor="text1"/>
          <w:sz w:val="28"/>
          <w:szCs w:val="28"/>
          <w:lang w:val="es-ES_tradnl"/>
        </w:rPr>
        <w:t xml:space="preserve">IV. </w:t>
      </w:r>
      <w:r w:rsidR="001A7DEF" w:rsidRPr="00CC69CD">
        <w:rPr>
          <w:rFonts w:ascii="Times New Roman" w:hAnsi="Times New Roman" w:cs="Times New Roman"/>
          <w:color w:val="000000" w:themeColor="text1"/>
          <w:sz w:val="28"/>
          <w:szCs w:val="28"/>
          <w:lang w:val="es-ES_tradnl"/>
        </w:rPr>
        <w:t>Entorno familiar y modalidades alternativas de cuidado (arts. 5</w:t>
      </w:r>
      <w:r w:rsidR="00374EA4" w:rsidRPr="00CC69CD">
        <w:rPr>
          <w:rFonts w:ascii="Times New Roman" w:hAnsi="Times New Roman" w:cs="Times New Roman"/>
          <w:color w:val="000000" w:themeColor="text1"/>
          <w:sz w:val="28"/>
          <w:szCs w:val="28"/>
          <w:lang w:val="es-ES_tradnl"/>
        </w:rPr>
        <w:t xml:space="preserve">, </w:t>
      </w:r>
      <w:r w:rsidR="00CC69CD">
        <w:rPr>
          <w:rFonts w:ascii="Times New Roman" w:hAnsi="Times New Roman" w:cs="Times New Roman"/>
          <w:color w:val="000000" w:themeColor="text1"/>
          <w:sz w:val="28"/>
          <w:szCs w:val="28"/>
          <w:lang w:val="es-ES_tradnl"/>
        </w:rPr>
        <w:t>18</w:t>
      </w:r>
      <w:r w:rsidR="001A7DEF" w:rsidRPr="00CC69CD">
        <w:rPr>
          <w:rFonts w:ascii="Times New Roman" w:hAnsi="Times New Roman" w:cs="Times New Roman"/>
          <w:color w:val="000000" w:themeColor="text1"/>
          <w:sz w:val="28"/>
          <w:szCs w:val="28"/>
          <w:lang w:val="es-ES_tradnl"/>
        </w:rPr>
        <w:t xml:space="preserve"> </w:t>
      </w:r>
      <w:r w:rsidR="00374EA4" w:rsidRPr="00CC69CD">
        <w:rPr>
          <w:rFonts w:ascii="Times New Roman" w:hAnsi="Times New Roman" w:cs="Times New Roman"/>
          <w:color w:val="000000" w:themeColor="text1"/>
          <w:sz w:val="28"/>
          <w:szCs w:val="28"/>
          <w:lang w:val="es-ES_tradnl"/>
        </w:rPr>
        <w:t>y 21</w:t>
      </w:r>
      <w:r w:rsidR="001A7DEF" w:rsidRPr="00CC69CD">
        <w:rPr>
          <w:rFonts w:ascii="Times New Roman" w:hAnsi="Times New Roman" w:cs="Times New Roman"/>
          <w:color w:val="000000" w:themeColor="text1"/>
          <w:sz w:val="28"/>
          <w:szCs w:val="28"/>
          <w:lang w:val="es-ES_tradnl"/>
        </w:rPr>
        <w:t>)</w:t>
      </w:r>
      <w:bookmarkEnd w:id="12"/>
    </w:p>
    <w:p w14:paraId="56FC9B8C" w14:textId="0EDA948A" w:rsidR="00C35E43" w:rsidRPr="00CC69CD" w:rsidRDefault="00260DCB" w:rsidP="00260DCB">
      <w:pPr>
        <w:pStyle w:val="Ttulo2"/>
        <w:rPr>
          <w:rFonts w:ascii="Times New Roman" w:hAnsi="Times New Roman" w:cs="Times New Roman"/>
          <w:color w:val="000000" w:themeColor="text1"/>
          <w:lang w:val="es-ES_tradnl"/>
        </w:rPr>
      </w:pPr>
      <w:bookmarkStart w:id="13" w:name="_Toc298099170"/>
      <w:r w:rsidRPr="00CC69CD">
        <w:rPr>
          <w:rFonts w:ascii="Times New Roman" w:hAnsi="Times New Roman" w:cs="Times New Roman"/>
          <w:color w:val="000000" w:themeColor="text1"/>
          <w:lang w:val="es-ES_tradnl"/>
        </w:rPr>
        <w:t xml:space="preserve">1. </w:t>
      </w:r>
      <w:r w:rsidR="00C35E43" w:rsidRPr="00CC69CD">
        <w:rPr>
          <w:rFonts w:ascii="Times New Roman" w:hAnsi="Times New Roman" w:cs="Times New Roman"/>
          <w:color w:val="000000" w:themeColor="text1"/>
          <w:lang w:val="es-ES_tradnl"/>
        </w:rPr>
        <w:t>La adopción en relación con las uniones civiles de parejas del mismo sexo.</w:t>
      </w:r>
      <w:bookmarkEnd w:id="13"/>
      <w:r w:rsidR="00C35E43" w:rsidRPr="00CC69CD">
        <w:rPr>
          <w:rFonts w:ascii="Times New Roman" w:hAnsi="Times New Roman" w:cs="Times New Roman"/>
          <w:color w:val="000000" w:themeColor="text1"/>
          <w:lang w:val="es-ES_tradnl"/>
        </w:rPr>
        <w:t xml:space="preserve"> </w:t>
      </w:r>
    </w:p>
    <w:p w14:paraId="16643161" w14:textId="77777777" w:rsidR="005E6042" w:rsidRPr="0052028E" w:rsidRDefault="005E6042" w:rsidP="005E6042">
      <w:pPr>
        <w:rPr>
          <w:rFonts w:ascii="Times New Roman" w:eastAsia="Times New Roman" w:hAnsi="Times New Roman" w:cs="Times New Roman"/>
        </w:rPr>
      </w:pPr>
    </w:p>
    <w:p w14:paraId="4FABA9E1" w14:textId="7CA7F2FA" w:rsidR="00754B9B" w:rsidRPr="0052028E" w:rsidRDefault="005E6042" w:rsidP="00777FF6">
      <w:pPr>
        <w:jc w:val="both"/>
        <w:rPr>
          <w:rFonts w:ascii="Times New Roman" w:eastAsia="Times New Roman" w:hAnsi="Times New Roman" w:cs="Times New Roman"/>
          <w:color w:val="222222"/>
          <w:shd w:val="clear" w:color="auto" w:fill="FFFFFF"/>
          <w:lang w:val="es-ES_tradnl"/>
        </w:rPr>
      </w:pPr>
      <w:r w:rsidRPr="0052028E">
        <w:rPr>
          <w:rFonts w:ascii="Times New Roman" w:eastAsia="Times New Roman" w:hAnsi="Times New Roman" w:cs="Times New Roman"/>
          <w:lang w:val="es-ES_tradnl"/>
        </w:rPr>
        <w:t>En el preámbulo de la Convención se señala el hecho de que “</w:t>
      </w:r>
      <w:r w:rsidR="00260DCB" w:rsidRPr="0052028E">
        <w:rPr>
          <w:rFonts w:ascii="Times New Roman" w:eastAsia="Times New Roman" w:hAnsi="Times New Roman" w:cs="Times New Roman"/>
          <w:lang w:val="es-ES_tradnl"/>
        </w:rPr>
        <w:t>el niño, para el pleno y armonioso desarrollo de su personalidad, debe crecer en el seno de la familia, en un ambiente de felicidad, amor y comprensión”</w:t>
      </w:r>
      <w:r w:rsidR="00CC69CD">
        <w:rPr>
          <w:rFonts w:ascii="Times New Roman" w:eastAsia="Times New Roman" w:hAnsi="Times New Roman" w:cs="Times New Roman"/>
          <w:lang w:val="es-ES_tradnl"/>
        </w:rPr>
        <w:t>.</w:t>
      </w:r>
      <w:r w:rsidR="00054B81" w:rsidRPr="0052028E">
        <w:rPr>
          <w:rStyle w:val="Refdenotaalpie"/>
          <w:rFonts w:ascii="Times New Roman" w:eastAsia="Times New Roman" w:hAnsi="Times New Roman" w:cs="Times New Roman"/>
          <w:lang w:val="es-ES_tradnl"/>
        </w:rPr>
        <w:footnoteReference w:id="40"/>
      </w:r>
      <w:r w:rsidR="00AA7BE5" w:rsidRPr="0052028E">
        <w:rPr>
          <w:rFonts w:ascii="Times New Roman" w:eastAsia="Times New Roman" w:hAnsi="Times New Roman" w:cs="Times New Roman"/>
          <w:color w:val="222222"/>
          <w:shd w:val="clear" w:color="auto" w:fill="FFFFFF"/>
          <w:lang w:val="es-ES_tradnl"/>
        </w:rPr>
        <w:t xml:space="preserve"> </w:t>
      </w:r>
      <w:r w:rsidR="002B0440" w:rsidRPr="0052028E">
        <w:rPr>
          <w:rFonts w:ascii="Times New Roman" w:eastAsia="Times New Roman" w:hAnsi="Times New Roman" w:cs="Times New Roman"/>
          <w:color w:val="222222"/>
          <w:shd w:val="clear" w:color="auto" w:fill="FFFFFF"/>
          <w:lang w:val="es-ES_tradnl"/>
        </w:rPr>
        <w:t>Sin embargo, e</w:t>
      </w:r>
      <w:r w:rsidR="00AA7BE5" w:rsidRPr="0052028E">
        <w:rPr>
          <w:rFonts w:ascii="Times New Roman" w:eastAsia="Times New Roman" w:hAnsi="Times New Roman" w:cs="Times New Roman"/>
          <w:color w:val="222222"/>
          <w:shd w:val="clear" w:color="auto" w:fill="FFFFFF"/>
          <w:lang w:val="es-ES_tradnl"/>
        </w:rPr>
        <w:t xml:space="preserve">l número de niños que han sido ubicados en instituciones de cuidado </w:t>
      </w:r>
      <w:r w:rsidR="002B0440" w:rsidRPr="0052028E">
        <w:rPr>
          <w:rFonts w:ascii="Times New Roman" w:eastAsia="Times New Roman" w:hAnsi="Times New Roman" w:cs="Times New Roman"/>
          <w:color w:val="222222"/>
          <w:shd w:val="clear" w:color="auto" w:fill="FFFFFF"/>
          <w:lang w:val="es-ES_tradnl"/>
        </w:rPr>
        <w:t xml:space="preserve">es alarmante, </w:t>
      </w:r>
      <w:r w:rsidR="00AA7BE5" w:rsidRPr="0052028E">
        <w:rPr>
          <w:rFonts w:ascii="Times New Roman" w:eastAsia="Times New Roman" w:hAnsi="Times New Roman" w:cs="Times New Roman"/>
          <w:color w:val="222222"/>
          <w:shd w:val="clear" w:color="auto" w:fill="FFFFFF"/>
          <w:lang w:val="es-ES_tradnl"/>
        </w:rPr>
        <w:t xml:space="preserve"> poder encontrar soluciones urgentes y coherentes con el derecho a crecer en el seno de una familia</w:t>
      </w:r>
      <w:r w:rsidR="00777FF6" w:rsidRPr="0052028E">
        <w:rPr>
          <w:rFonts w:ascii="Times New Roman" w:eastAsia="Times New Roman" w:hAnsi="Times New Roman" w:cs="Times New Roman"/>
          <w:color w:val="222222"/>
          <w:shd w:val="clear" w:color="auto" w:fill="FFFFFF"/>
          <w:lang w:val="es-ES_tradnl"/>
        </w:rPr>
        <w:t>, en concordancia con lo estimado por</w:t>
      </w:r>
      <w:r w:rsidR="00AA7BE5" w:rsidRPr="0052028E">
        <w:rPr>
          <w:rFonts w:ascii="Times New Roman" w:eastAsia="Times New Roman" w:hAnsi="Times New Roman" w:cs="Times New Roman"/>
          <w:color w:val="222222"/>
          <w:shd w:val="clear" w:color="auto" w:fill="FFFFFF"/>
          <w:lang w:val="es-ES_tradnl"/>
        </w:rPr>
        <w:t xml:space="preserve"> la Convención.</w:t>
      </w:r>
      <w:r w:rsidR="002B0440" w:rsidRPr="0052028E">
        <w:rPr>
          <w:rStyle w:val="Refdenotaalpie"/>
          <w:rFonts w:ascii="Times New Roman" w:eastAsia="Times New Roman" w:hAnsi="Times New Roman" w:cs="Times New Roman"/>
          <w:color w:val="222222"/>
          <w:shd w:val="clear" w:color="auto" w:fill="FFFFFF"/>
          <w:lang w:val="es-ES_tradnl"/>
        </w:rPr>
        <w:footnoteReference w:id="41"/>
      </w:r>
    </w:p>
    <w:p w14:paraId="0C7B4A7E" w14:textId="77777777" w:rsidR="00A53800" w:rsidRPr="0052028E" w:rsidRDefault="00A53800" w:rsidP="00777FF6">
      <w:pPr>
        <w:jc w:val="both"/>
        <w:rPr>
          <w:rFonts w:ascii="Times New Roman" w:eastAsia="Times New Roman" w:hAnsi="Times New Roman" w:cs="Times New Roman"/>
          <w:color w:val="222222"/>
          <w:shd w:val="clear" w:color="auto" w:fill="FFFFFF"/>
          <w:lang w:val="es-ES_tradnl"/>
        </w:rPr>
      </w:pPr>
    </w:p>
    <w:p w14:paraId="425FB7F4" w14:textId="032DF351" w:rsidR="006B548C" w:rsidRPr="00C234D8" w:rsidRDefault="00A53800" w:rsidP="00777FF6">
      <w:pPr>
        <w:jc w:val="both"/>
        <w:rPr>
          <w:rFonts w:ascii="Times New Roman" w:eastAsia="Times New Roman" w:hAnsi="Times New Roman" w:cs="Times New Roman"/>
          <w:lang w:val="es-ES_tradnl"/>
        </w:rPr>
      </w:pPr>
      <w:r w:rsidRPr="0052028E">
        <w:rPr>
          <w:rFonts w:ascii="Times New Roman" w:eastAsia="Times New Roman" w:hAnsi="Times New Roman" w:cs="Times New Roman"/>
          <w:color w:val="222222"/>
          <w:shd w:val="clear" w:color="auto" w:fill="FFFFFF"/>
          <w:lang w:val="es-ES_tradnl"/>
        </w:rPr>
        <w:t xml:space="preserve">El 13 de Abril, 2015, Chile aprobó </w:t>
      </w:r>
      <w:r w:rsidRPr="0052028E">
        <w:rPr>
          <w:rFonts w:ascii="Times New Roman" w:eastAsia="Times New Roman" w:hAnsi="Times New Roman" w:cs="Times New Roman"/>
          <w:color w:val="3F4548"/>
          <w:shd w:val="clear" w:color="auto" w:fill="FFFFFF"/>
          <w:lang w:val="es-ES_tradnl"/>
        </w:rPr>
        <w:t xml:space="preserve">el </w:t>
      </w:r>
      <w:r w:rsidRPr="0052028E">
        <w:rPr>
          <w:rFonts w:ascii="Times New Roman" w:eastAsia="Times New Roman" w:hAnsi="Times New Roman" w:cs="Times New Roman"/>
          <w:lang w:val="es-ES_tradnl"/>
        </w:rPr>
        <w:t>Boletín No. 20.830, mediante el cual se permite que las pa</w:t>
      </w:r>
      <w:r w:rsidR="0052028E">
        <w:rPr>
          <w:rFonts w:ascii="Times New Roman" w:eastAsia="Times New Roman" w:hAnsi="Times New Roman" w:cs="Times New Roman"/>
          <w:lang w:val="es-ES_tradnl"/>
        </w:rPr>
        <w:t>rejas del mismo sexo conformen u</w:t>
      </w:r>
      <w:r w:rsidRPr="0052028E">
        <w:rPr>
          <w:rFonts w:ascii="Times New Roman" w:eastAsia="Times New Roman" w:hAnsi="Times New Roman" w:cs="Times New Roman"/>
          <w:lang w:val="es-ES_tradnl"/>
        </w:rPr>
        <w:t>niones civiles. El Acuerdo de Unión Civil reconoce a los convivientes civiles como familia. A pesar de ser un avance significativo, la adopción aún sigue siendo prohibi</w:t>
      </w:r>
      <w:r w:rsidR="00C234D8">
        <w:rPr>
          <w:rFonts w:ascii="Times New Roman" w:eastAsia="Times New Roman" w:hAnsi="Times New Roman" w:cs="Times New Roman"/>
          <w:lang w:val="es-ES_tradnl"/>
        </w:rPr>
        <w:t>da para parejas del mismo sexo --</w:t>
      </w:r>
      <w:r w:rsidRPr="0052028E">
        <w:rPr>
          <w:rFonts w:ascii="Times New Roman" w:eastAsia="Times New Roman" w:hAnsi="Times New Roman" w:cs="Times New Roman"/>
          <w:lang w:val="es-ES_tradnl"/>
        </w:rPr>
        <w:t xml:space="preserve">derecho </w:t>
      </w:r>
      <w:r w:rsidR="006B548C" w:rsidRPr="0052028E">
        <w:rPr>
          <w:rFonts w:ascii="Times New Roman" w:eastAsia="Times New Roman" w:hAnsi="Times New Roman" w:cs="Times New Roman"/>
          <w:lang w:val="es-ES_tradnl"/>
        </w:rPr>
        <w:t>otorgado exclusivamente</w:t>
      </w:r>
      <w:r w:rsidRPr="0052028E">
        <w:rPr>
          <w:rFonts w:ascii="Times New Roman" w:eastAsia="Times New Roman" w:hAnsi="Times New Roman" w:cs="Times New Roman"/>
          <w:lang w:val="es-ES_tradnl"/>
        </w:rPr>
        <w:t xml:space="preserve"> a parejas que </w:t>
      </w:r>
      <w:r w:rsidR="00C234D8">
        <w:rPr>
          <w:rFonts w:ascii="Times New Roman" w:eastAsia="Times New Roman" w:hAnsi="Times New Roman" w:cs="Times New Roman"/>
          <w:lang w:val="es-ES_tradnl"/>
        </w:rPr>
        <w:t>pueden contraer</w:t>
      </w:r>
      <w:r w:rsidRPr="0052028E">
        <w:rPr>
          <w:rFonts w:ascii="Times New Roman" w:eastAsia="Times New Roman" w:hAnsi="Times New Roman" w:cs="Times New Roman"/>
          <w:lang w:val="es-ES_tradnl"/>
        </w:rPr>
        <w:t xml:space="preserve"> matrimonio.</w:t>
      </w:r>
      <w:r w:rsidR="002039B3">
        <w:rPr>
          <w:rFonts w:ascii="Times New Roman" w:eastAsia="Times New Roman" w:hAnsi="Times New Roman" w:cs="Times New Roman"/>
          <w:lang w:val="es-ES_tradnl"/>
        </w:rPr>
        <w:t xml:space="preserve"> </w:t>
      </w:r>
      <w:r w:rsidR="00C234D8">
        <w:rPr>
          <w:rFonts w:ascii="Times New Roman" w:eastAsia="Times New Roman" w:hAnsi="Times New Roman" w:cs="Times New Roman"/>
          <w:lang w:val="es-ES_tradnl"/>
        </w:rPr>
        <w:t xml:space="preserve">Al determinar las adopciones, las autoridades competentes deben considerar ante y por encima de todo el interés superior del niño. </w:t>
      </w:r>
      <w:r w:rsidR="002039B3">
        <w:rPr>
          <w:rFonts w:ascii="Times New Roman" w:eastAsia="Times New Roman" w:hAnsi="Times New Roman" w:cs="Times New Roman"/>
          <w:lang w:val="es-ES_tradnl"/>
        </w:rPr>
        <w:t>A</w:t>
      </w:r>
      <w:r w:rsidR="006B548C" w:rsidRPr="0052028E">
        <w:rPr>
          <w:rFonts w:ascii="Times New Roman" w:eastAsia="Times New Roman" w:hAnsi="Times New Roman" w:cs="Times New Roman"/>
          <w:lang w:val="es-ES_tradnl"/>
        </w:rPr>
        <w:t xml:space="preserve">l prohibir la adopción por parte de convivientes civiles, el Estado Chileno no solo está violando el principio de la no-discriminación; está priorizando una configuración particular de familia sobre el bienestar de NNA, negándoles la posibilidad de crecer en un ambiente familiar, </w:t>
      </w:r>
      <w:r w:rsidR="004C5313" w:rsidRPr="0052028E">
        <w:rPr>
          <w:rFonts w:ascii="Times New Roman" w:eastAsia="Times New Roman" w:hAnsi="Times New Roman" w:cs="Times New Roman"/>
          <w:lang w:val="es-ES_tradnl"/>
        </w:rPr>
        <w:t>y de desarrollarse armónica y holísticamente</w:t>
      </w:r>
      <w:r w:rsidR="00C234D8">
        <w:rPr>
          <w:rFonts w:ascii="Times New Roman" w:eastAsia="Times New Roman" w:hAnsi="Times New Roman" w:cs="Times New Roman"/>
          <w:lang w:val="es-ES_tradnl"/>
        </w:rPr>
        <w:t xml:space="preserve"> a miles de niños y niñas que lo necesitan.</w:t>
      </w:r>
      <w:r w:rsidR="001E7226" w:rsidRPr="0052028E">
        <w:rPr>
          <w:rStyle w:val="Refdenotaalpie"/>
          <w:rFonts w:ascii="Times New Roman" w:eastAsia="Times New Roman" w:hAnsi="Times New Roman" w:cs="Times New Roman"/>
          <w:lang w:val="es-ES_tradnl"/>
        </w:rPr>
        <w:footnoteReference w:id="42"/>
      </w:r>
    </w:p>
    <w:p w14:paraId="1EFCD4CB" w14:textId="77777777" w:rsidR="006B548C" w:rsidRPr="0052028E" w:rsidRDefault="006B548C" w:rsidP="00777FF6">
      <w:pPr>
        <w:jc w:val="both"/>
        <w:rPr>
          <w:rFonts w:ascii="Times New Roman" w:eastAsia="Times New Roman" w:hAnsi="Times New Roman" w:cs="Times New Roman"/>
          <w:lang w:val="es-ES_tradnl"/>
        </w:rPr>
      </w:pPr>
    </w:p>
    <w:p w14:paraId="1BD66E06" w14:textId="2ED904C8" w:rsidR="001A7DEF" w:rsidRPr="0052028E" w:rsidRDefault="006B548C" w:rsidP="00777FF6">
      <w:pPr>
        <w:jc w:val="both"/>
        <w:rPr>
          <w:rFonts w:ascii="Times New Roman" w:eastAsia="Times New Roman" w:hAnsi="Times New Roman" w:cs="Times New Roman"/>
          <w:lang w:val="es-ES_tradnl"/>
        </w:rPr>
      </w:pPr>
      <w:r w:rsidRPr="0052028E">
        <w:rPr>
          <w:rFonts w:ascii="Times New Roman" w:eastAsia="Times New Roman" w:hAnsi="Times New Roman" w:cs="Times New Roman"/>
          <w:lang w:val="es-ES_tradnl"/>
        </w:rPr>
        <w:t>En previas Observaciones Finales, el Comité ha sido enfático en expresar que los derechos de los niños y niñas no pueden realizarse independientemente de los derechos de sus padres o madres, o en aislamiento de la sociedad</w:t>
      </w:r>
      <w:r w:rsidR="00754B9B" w:rsidRPr="0052028E">
        <w:rPr>
          <w:rStyle w:val="Refdenotaalpie"/>
          <w:rFonts w:ascii="Times New Roman" w:eastAsia="Times New Roman" w:hAnsi="Times New Roman" w:cs="Times New Roman"/>
          <w:lang w:val="es-ES_tradnl"/>
        </w:rPr>
        <w:footnoteReference w:id="43"/>
      </w:r>
      <w:r w:rsidRPr="0052028E">
        <w:rPr>
          <w:rFonts w:ascii="Times New Roman" w:eastAsia="Times New Roman" w:hAnsi="Times New Roman" w:cs="Times New Roman"/>
          <w:lang w:val="es-ES_tradnl"/>
        </w:rPr>
        <w:t xml:space="preserve">. En este sentido, las o los convivientes civiles en disposición y capacidad de satisfacer las necesidades físicas, espirituales, emocionales, intelectuales y sociales de NNA, deben ser igualmente reconocidos en su pleno derecho al cuidado de éstos, más aún cuando el cuidado obedezca al interés superior del niño.   </w:t>
      </w:r>
    </w:p>
    <w:p w14:paraId="0C47A10B" w14:textId="1454B557" w:rsidR="001A7DEF" w:rsidRPr="00AC72FD" w:rsidRDefault="007A3AE8" w:rsidP="007A3AE8">
      <w:pPr>
        <w:pStyle w:val="Ttulo1"/>
        <w:rPr>
          <w:rFonts w:ascii="Times New Roman" w:hAnsi="Times New Roman" w:cs="Times New Roman"/>
          <w:color w:val="000000" w:themeColor="text1"/>
          <w:sz w:val="28"/>
          <w:szCs w:val="28"/>
          <w:lang w:val="es-ES_tradnl"/>
        </w:rPr>
      </w:pPr>
      <w:bookmarkStart w:id="14" w:name="_Toc298099171"/>
      <w:r w:rsidRPr="00AC72FD">
        <w:rPr>
          <w:rFonts w:ascii="Times New Roman" w:hAnsi="Times New Roman" w:cs="Times New Roman"/>
          <w:color w:val="000000" w:themeColor="text1"/>
          <w:sz w:val="28"/>
          <w:szCs w:val="28"/>
          <w:lang w:val="es-ES_tradnl"/>
        </w:rPr>
        <w:t>Recomendaciones:</w:t>
      </w:r>
      <w:bookmarkEnd w:id="14"/>
    </w:p>
    <w:p w14:paraId="343C4E76" w14:textId="77777777" w:rsidR="00E77640" w:rsidRPr="0052028E" w:rsidRDefault="00E77640" w:rsidP="00E77640">
      <w:pPr>
        <w:rPr>
          <w:rFonts w:ascii="Times New Roman" w:hAnsi="Times New Roman" w:cs="Times New Roman"/>
          <w:lang w:val="es-ES_tradnl"/>
        </w:rPr>
      </w:pPr>
    </w:p>
    <w:p w14:paraId="089AC755" w14:textId="15ED96C7" w:rsidR="00E77640" w:rsidRPr="00AC72FD" w:rsidRDefault="00FB2BF6" w:rsidP="00AC72FD">
      <w:pPr>
        <w:pStyle w:val="Prrafodelista"/>
        <w:numPr>
          <w:ilvl w:val="0"/>
          <w:numId w:val="12"/>
        </w:numPr>
        <w:rPr>
          <w:rFonts w:ascii="Times New Roman" w:hAnsi="Times New Roman" w:cs="Times New Roman"/>
          <w:lang w:val="es-ES_tradnl"/>
        </w:rPr>
      </w:pPr>
      <w:r w:rsidRPr="00AC72FD">
        <w:rPr>
          <w:rFonts w:ascii="Times New Roman" w:hAnsi="Times New Roman" w:cs="Times New Roman"/>
          <w:lang w:val="es-ES_tradnl"/>
        </w:rPr>
        <w:t>Revisar la legislación sobre</w:t>
      </w:r>
      <w:r w:rsidR="00E77640" w:rsidRPr="00AC72FD">
        <w:rPr>
          <w:rFonts w:ascii="Times New Roman" w:hAnsi="Times New Roman" w:cs="Times New Roman"/>
          <w:lang w:val="es-ES_tradnl"/>
        </w:rPr>
        <w:t xml:space="preserve"> la adopción</w:t>
      </w:r>
      <w:r w:rsidRPr="00AC72FD">
        <w:rPr>
          <w:rFonts w:ascii="Times New Roman" w:hAnsi="Times New Roman" w:cs="Times New Roman"/>
          <w:lang w:val="es-ES_tradnl"/>
        </w:rPr>
        <w:t xml:space="preserve"> y garantizar que </w:t>
      </w:r>
      <w:r w:rsidR="00AA7FA8">
        <w:rPr>
          <w:rFonts w:ascii="Times New Roman" w:hAnsi="Times New Roman" w:cs="Times New Roman"/>
          <w:lang w:val="es-ES_tradnl"/>
        </w:rPr>
        <w:t>las y los convivientes civiles tengan el mismo derecho a la a</w:t>
      </w:r>
      <w:r w:rsidR="004615CD">
        <w:rPr>
          <w:rFonts w:ascii="Times New Roman" w:hAnsi="Times New Roman" w:cs="Times New Roman"/>
          <w:lang w:val="es-ES_tradnl"/>
        </w:rPr>
        <w:t>dopción que las personas casadas</w:t>
      </w:r>
      <w:r w:rsidR="00AA7FA8">
        <w:rPr>
          <w:rFonts w:ascii="Times New Roman" w:hAnsi="Times New Roman" w:cs="Times New Roman"/>
          <w:lang w:val="es-ES_tradnl"/>
        </w:rPr>
        <w:t xml:space="preserve">. </w:t>
      </w:r>
    </w:p>
    <w:p w14:paraId="606A8342" w14:textId="77777777" w:rsidR="00AC72FD" w:rsidRPr="00AC72FD" w:rsidRDefault="00AC72FD" w:rsidP="00AC72FD">
      <w:pPr>
        <w:pStyle w:val="Prrafodelista"/>
        <w:rPr>
          <w:rFonts w:ascii="Times New Roman" w:hAnsi="Times New Roman" w:cs="Times New Roman"/>
          <w:lang w:val="es-ES_tradnl"/>
        </w:rPr>
      </w:pPr>
    </w:p>
    <w:sectPr w:rsidR="00AC72FD" w:rsidRPr="00AC72FD" w:rsidSect="00AA61B9">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18F21" w14:textId="77777777" w:rsidR="007975EE" w:rsidRDefault="007975EE" w:rsidP="001A7DEF">
      <w:r>
        <w:separator/>
      </w:r>
    </w:p>
  </w:endnote>
  <w:endnote w:type="continuationSeparator" w:id="0">
    <w:p w14:paraId="727181BA" w14:textId="77777777" w:rsidR="007975EE" w:rsidRDefault="007975EE" w:rsidP="001A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9606" w14:textId="77777777" w:rsidR="007975EE" w:rsidRDefault="007975EE" w:rsidP="00F907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CBBED5" w14:textId="77777777" w:rsidR="007975EE" w:rsidRDefault="007975EE" w:rsidP="00F9071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A83BC" w14:textId="77777777" w:rsidR="007975EE" w:rsidRDefault="007975EE" w:rsidP="00F907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956">
      <w:rPr>
        <w:rStyle w:val="Nmerodepgina"/>
        <w:noProof/>
      </w:rPr>
      <w:t>1</w:t>
    </w:r>
    <w:r>
      <w:rPr>
        <w:rStyle w:val="Nmerodepgina"/>
      </w:rPr>
      <w:fldChar w:fldCharType="end"/>
    </w:r>
  </w:p>
  <w:p w14:paraId="7D7EC578" w14:textId="77777777" w:rsidR="007975EE" w:rsidRDefault="007975EE" w:rsidP="00F9071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05BC" w14:textId="77777777" w:rsidR="007975EE" w:rsidRDefault="007975EE" w:rsidP="001A7DEF">
      <w:r>
        <w:separator/>
      </w:r>
    </w:p>
  </w:footnote>
  <w:footnote w:type="continuationSeparator" w:id="0">
    <w:p w14:paraId="6D36255D" w14:textId="77777777" w:rsidR="007975EE" w:rsidRDefault="007975EE" w:rsidP="001A7DEF">
      <w:r>
        <w:continuationSeparator/>
      </w:r>
    </w:p>
  </w:footnote>
  <w:footnote w:id="1">
    <w:p w14:paraId="63C8051B" w14:textId="3513AEBA" w:rsidR="007975EE" w:rsidRPr="00B23757" w:rsidRDefault="007975EE" w:rsidP="00232EF6">
      <w:pPr>
        <w:pStyle w:val="Textonotapie"/>
        <w:rPr>
          <w:rFonts w:ascii="Times New Roman" w:hAnsi="Times New Roman" w:cs="Times New Roman"/>
          <w:sz w:val="20"/>
          <w:szCs w:val="20"/>
          <w:lang w:val="es-ES_tradnl"/>
        </w:rPr>
      </w:pPr>
      <w:r w:rsidRPr="00B23757">
        <w:rPr>
          <w:rStyle w:val="Refdenotaalpie"/>
          <w:rFonts w:ascii="Times New Roman" w:hAnsi="Times New Roman" w:cs="Times New Roman"/>
          <w:sz w:val="20"/>
          <w:szCs w:val="20"/>
        </w:rPr>
        <w:footnoteRef/>
      </w:r>
      <w:r w:rsidRPr="00B23757">
        <w:rPr>
          <w:rFonts w:ascii="Times New Roman" w:hAnsi="Times New Roman" w:cs="Times New Roman"/>
          <w:sz w:val="20"/>
          <w:szCs w:val="20"/>
        </w:rPr>
        <w:t xml:space="preserve"> </w:t>
      </w:r>
      <w:r w:rsidRPr="00B23757">
        <w:rPr>
          <w:rFonts w:ascii="Times New Roman" w:hAnsi="Times New Roman" w:cs="Times New Roman"/>
          <w:bCs/>
          <w:sz w:val="20"/>
          <w:szCs w:val="20"/>
          <w:lang w:val="es-ES"/>
        </w:rPr>
        <w:t xml:space="preserve">Corte IDH. </w:t>
      </w:r>
      <w:r w:rsidRPr="00B23757">
        <w:rPr>
          <w:rFonts w:ascii="Times New Roman" w:hAnsi="Times New Roman" w:cs="Times New Roman"/>
          <w:bCs/>
          <w:i/>
          <w:sz w:val="20"/>
          <w:szCs w:val="20"/>
          <w:lang w:val="es-ES"/>
        </w:rPr>
        <w:t>Caso Atala Riffo y Niñas Vs. Chile</w:t>
      </w:r>
      <w:r w:rsidRPr="00B23757">
        <w:rPr>
          <w:rFonts w:ascii="Times New Roman" w:hAnsi="Times New Roman" w:cs="Times New Roman"/>
          <w:bCs/>
          <w:sz w:val="20"/>
          <w:szCs w:val="20"/>
          <w:lang w:val="es-ES"/>
        </w:rPr>
        <w:t>. Fondo, Reparaciones y Costas. Sentencia del 24 de febrero de 2012. Serie C No. 239, ¶ 271</w:t>
      </w:r>
    </w:p>
  </w:footnote>
  <w:footnote w:id="2">
    <w:p w14:paraId="6FD92CD6" w14:textId="0A4281DB" w:rsidR="007975EE" w:rsidRPr="00B23757" w:rsidRDefault="007975EE" w:rsidP="00232EF6">
      <w:pPr>
        <w:pStyle w:val="Textonotapie"/>
        <w:rPr>
          <w:rFonts w:ascii="Times New Roman" w:hAnsi="Times New Roman" w:cs="Times New Roman"/>
          <w:sz w:val="20"/>
          <w:szCs w:val="20"/>
          <w:lang w:val="es-ES_tradnl"/>
        </w:rPr>
      </w:pPr>
      <w:r w:rsidRPr="00B23757">
        <w:rPr>
          <w:rStyle w:val="Refdenotaalpie"/>
          <w:rFonts w:ascii="Times New Roman" w:hAnsi="Times New Roman" w:cs="Times New Roman"/>
          <w:sz w:val="20"/>
          <w:szCs w:val="20"/>
        </w:rPr>
        <w:footnoteRef/>
      </w:r>
      <w:r w:rsidRPr="00B23757">
        <w:rPr>
          <w:rFonts w:ascii="Times New Roman" w:hAnsi="Times New Roman" w:cs="Times New Roman"/>
          <w:sz w:val="20"/>
          <w:szCs w:val="20"/>
        </w:rPr>
        <w:t xml:space="preserve"> </w:t>
      </w:r>
      <w:r w:rsidRPr="00B23757">
        <w:rPr>
          <w:rFonts w:ascii="Times New Roman" w:hAnsi="Times New Roman" w:cs="Times New Roman"/>
          <w:sz w:val="20"/>
          <w:szCs w:val="20"/>
          <w:lang w:val="es-ES_tradnl"/>
        </w:rPr>
        <w:t>Entrevista con Karen Atala, jueza y Directora de la fundación Iguales, Chile, via skype (Julio 11, 2015)</w:t>
      </w:r>
    </w:p>
  </w:footnote>
  <w:footnote w:id="3">
    <w:p w14:paraId="0305E60B" w14:textId="2C526CEE" w:rsidR="007975EE" w:rsidRPr="00BD284B" w:rsidRDefault="007975EE" w:rsidP="00232EF6">
      <w:pPr>
        <w:pStyle w:val="Textonotapie"/>
        <w:rPr>
          <w:sz w:val="20"/>
          <w:szCs w:val="20"/>
          <w:lang w:val="es-ES_tradnl"/>
        </w:rPr>
      </w:pPr>
      <w:r w:rsidRPr="00B23757">
        <w:rPr>
          <w:rStyle w:val="Refdenotaalpie"/>
          <w:rFonts w:ascii="Times New Roman" w:hAnsi="Times New Roman" w:cs="Times New Roman"/>
          <w:sz w:val="20"/>
          <w:szCs w:val="20"/>
        </w:rPr>
        <w:footnoteRef/>
      </w:r>
      <w:r w:rsidRPr="00B23757">
        <w:rPr>
          <w:rFonts w:ascii="Times New Roman" w:hAnsi="Times New Roman" w:cs="Times New Roman"/>
          <w:sz w:val="20"/>
          <w:szCs w:val="20"/>
        </w:rPr>
        <w:t xml:space="preserve"> </w:t>
      </w:r>
      <w:r w:rsidRPr="00B23757">
        <w:rPr>
          <w:rFonts w:ascii="Times New Roman" w:hAnsi="Times New Roman" w:cs="Times New Roman"/>
          <w:sz w:val="20"/>
          <w:szCs w:val="20"/>
          <w:lang w:val="es-ES_tradnl"/>
        </w:rPr>
        <w:t>Ibíd.</w:t>
      </w:r>
      <w:r>
        <w:rPr>
          <w:sz w:val="20"/>
          <w:szCs w:val="20"/>
          <w:lang w:val="es-ES_tradnl"/>
        </w:rPr>
        <w:t xml:space="preserve"> </w:t>
      </w:r>
      <w:r w:rsidRPr="00BD284B">
        <w:rPr>
          <w:sz w:val="20"/>
          <w:szCs w:val="20"/>
          <w:lang w:val="es-ES_tradnl"/>
        </w:rPr>
        <w:t xml:space="preserve"> </w:t>
      </w:r>
    </w:p>
  </w:footnote>
  <w:footnote w:id="4">
    <w:p w14:paraId="140C1756" w14:textId="322D8CC3" w:rsidR="007975EE" w:rsidRPr="00593DA5" w:rsidRDefault="007975EE">
      <w:pPr>
        <w:pStyle w:val="Textonotapie"/>
        <w:rPr>
          <w:rFonts w:ascii="Times New Roman" w:hAnsi="Times New Roman" w:cs="Times New Roman"/>
          <w:color w:val="000000" w:themeColor="text1"/>
          <w:sz w:val="20"/>
          <w:szCs w:val="20"/>
          <w:lang w:val="es-ES_tradnl"/>
        </w:rPr>
      </w:pPr>
      <w:r w:rsidRPr="00593DA5">
        <w:rPr>
          <w:rStyle w:val="Refdenotaalpie"/>
          <w:rFonts w:ascii="Times New Roman" w:hAnsi="Times New Roman" w:cs="Times New Roman"/>
          <w:color w:val="000000" w:themeColor="text1"/>
          <w:sz w:val="20"/>
          <w:szCs w:val="20"/>
          <w:lang w:val="es-ES_tradnl"/>
        </w:rPr>
        <w:footnoteRef/>
      </w:r>
      <w:r w:rsidRPr="00593DA5">
        <w:rPr>
          <w:rFonts w:ascii="Times New Roman" w:hAnsi="Times New Roman" w:cs="Times New Roman"/>
          <w:color w:val="000000" w:themeColor="text1"/>
          <w:sz w:val="20"/>
          <w:szCs w:val="20"/>
          <w:lang w:val="es-ES_tradnl"/>
        </w:rPr>
        <w:t xml:space="preserve"> CRC Examen de los informes presentados por los Estados partes en virtud del artículo 44 de la Convención. Informes periódicos cuarto y quinto que los Estados partes debían presentar en 2012. Chile </w:t>
      </w:r>
      <w:r w:rsidRPr="00593DA5">
        <w:rPr>
          <w:rFonts w:ascii="Times New Roman" w:hAnsi="Times New Roman" w:cs="Times New Roman"/>
          <w:bCs/>
          <w:color w:val="000000" w:themeColor="text1"/>
          <w:sz w:val="20"/>
          <w:szCs w:val="20"/>
          <w:lang w:val="es-ES_tradnl"/>
        </w:rPr>
        <w:t xml:space="preserve">(10 de Noviembre, 3014) </w:t>
      </w:r>
      <w:r w:rsidRPr="00593DA5">
        <w:rPr>
          <w:rFonts w:ascii="Times New Roman" w:hAnsi="Times New Roman" w:cs="Times New Roman"/>
          <w:color w:val="000000" w:themeColor="text1"/>
          <w:sz w:val="20"/>
          <w:szCs w:val="20"/>
          <w:lang w:val="es-ES_tradnl"/>
        </w:rPr>
        <w:t xml:space="preserve"> U.N. Doc. </w:t>
      </w:r>
      <w:r w:rsidRPr="00593DA5">
        <w:rPr>
          <w:rFonts w:ascii="Times New Roman" w:hAnsi="Times New Roman" w:cs="Times New Roman"/>
          <w:bCs/>
          <w:color w:val="000000" w:themeColor="text1"/>
          <w:sz w:val="20"/>
          <w:szCs w:val="20"/>
          <w:lang w:val="es-ES_tradnl"/>
        </w:rPr>
        <w:t xml:space="preserve">CRC/C/CHL/4-5 </w:t>
      </w:r>
      <w:r w:rsidRPr="00593DA5">
        <w:rPr>
          <w:rFonts w:ascii="Times New Roman" w:hAnsi="Times New Roman" w:cs="Times New Roman"/>
          <w:color w:val="000000" w:themeColor="text1"/>
          <w:sz w:val="20"/>
          <w:szCs w:val="20"/>
          <w:lang w:val="es-ES_tradnl"/>
        </w:rPr>
        <w:t>¶ 5 (aa)</w:t>
      </w:r>
    </w:p>
  </w:footnote>
  <w:footnote w:id="5">
    <w:p w14:paraId="01AF9FF6" w14:textId="5F6AE049" w:rsidR="007975EE" w:rsidRPr="00593DA5" w:rsidRDefault="007975EE" w:rsidP="00593DA5">
      <w:pPr>
        <w:pStyle w:val="Textonotapie"/>
        <w:rPr>
          <w:rFonts w:ascii="Times New Roman" w:hAnsi="Times New Roman" w:cs="Times New Roman"/>
          <w:color w:val="000000" w:themeColor="text1"/>
          <w:sz w:val="20"/>
          <w:szCs w:val="20"/>
          <w:lang w:val="es-ES_tradnl"/>
        </w:rPr>
      </w:pPr>
      <w:r w:rsidRPr="00593DA5">
        <w:rPr>
          <w:rStyle w:val="Refdenotaalpie"/>
          <w:rFonts w:ascii="Times New Roman" w:hAnsi="Times New Roman" w:cs="Times New Roman"/>
          <w:color w:val="000000" w:themeColor="text1"/>
          <w:sz w:val="20"/>
          <w:szCs w:val="20"/>
          <w:lang w:val="es-ES_tradnl"/>
        </w:rPr>
        <w:footnoteRef/>
      </w:r>
      <w:r w:rsidRPr="00593DA5">
        <w:rPr>
          <w:rFonts w:ascii="Times New Roman" w:hAnsi="Times New Roman" w:cs="Times New Roman"/>
          <w:color w:val="000000" w:themeColor="text1"/>
          <w:sz w:val="20"/>
          <w:szCs w:val="20"/>
          <w:lang w:val="es-ES_tradnl"/>
        </w:rPr>
        <w:t xml:space="preserve"> Ley No. 20609. Disponible en: http://www.mineduc.cl/usuarios/convivencia_escolar/doc/201311281730000.LEY-20609_no_discriminacion.pdf</w:t>
      </w:r>
    </w:p>
  </w:footnote>
  <w:footnote w:id="6">
    <w:p w14:paraId="5BF350C8" w14:textId="77777777" w:rsidR="007975EE" w:rsidRPr="00593DA5" w:rsidRDefault="007975EE" w:rsidP="00403E96">
      <w:pPr>
        <w:pStyle w:val="Textonotapie"/>
        <w:rPr>
          <w:rFonts w:ascii="Times New Roman" w:hAnsi="Times New Roman" w:cs="Times New Roman"/>
          <w:color w:val="000000" w:themeColor="text1"/>
          <w:sz w:val="20"/>
          <w:szCs w:val="20"/>
          <w:lang w:val="es-ES_tradnl"/>
        </w:rPr>
      </w:pPr>
      <w:r w:rsidRPr="00593DA5">
        <w:rPr>
          <w:rStyle w:val="Refdenotaalpie"/>
          <w:rFonts w:ascii="Times New Roman" w:hAnsi="Times New Roman" w:cs="Times New Roman"/>
          <w:color w:val="000000" w:themeColor="text1"/>
          <w:sz w:val="20"/>
          <w:szCs w:val="20"/>
        </w:rPr>
        <w:footnoteRef/>
      </w:r>
      <w:r w:rsidRPr="00593DA5">
        <w:rPr>
          <w:rFonts w:ascii="Times New Roman" w:hAnsi="Times New Roman" w:cs="Times New Roman"/>
          <w:color w:val="000000" w:themeColor="text1"/>
          <w:sz w:val="20"/>
          <w:szCs w:val="20"/>
        </w:rPr>
        <w:t xml:space="preserve"> </w:t>
      </w:r>
      <w:r w:rsidRPr="00593DA5">
        <w:rPr>
          <w:rFonts w:ascii="Times New Roman" w:hAnsi="Times New Roman" w:cs="Times New Roman"/>
          <w:i/>
          <w:color w:val="000000" w:themeColor="text1"/>
          <w:sz w:val="20"/>
          <w:szCs w:val="20"/>
          <w:lang w:val="es-ES"/>
        </w:rPr>
        <w:t>Presentación / Proyecto de ley que modifica definiciones y el procedimiento de la ley que establece medidas contra la discriminación</w:t>
      </w:r>
      <w:r w:rsidRPr="00593DA5">
        <w:rPr>
          <w:rFonts w:ascii="Times New Roman" w:hAnsi="Times New Roman" w:cs="Times New Roman"/>
          <w:color w:val="000000" w:themeColor="text1"/>
          <w:sz w:val="20"/>
          <w:szCs w:val="20"/>
          <w:lang w:val="es-ES"/>
        </w:rPr>
        <w:t xml:space="preserve">. Disponible en: </w:t>
      </w:r>
      <w:hyperlink r:id="rId1" w:history="1">
        <w:r w:rsidRPr="00593DA5">
          <w:rPr>
            <w:rStyle w:val="Hipervnculo"/>
            <w:rFonts w:ascii="Times New Roman" w:hAnsi="Times New Roman" w:cs="Times New Roman"/>
            <w:color w:val="000000" w:themeColor="text1"/>
            <w:sz w:val="20"/>
            <w:szCs w:val="20"/>
            <w:lang w:val="es-ES"/>
          </w:rPr>
          <w:t>http://www.senado.cl/appsenado/index.php?mo=comisiones&amp;ac=sesiones_celebradas&amp;idcomision=199&amp;tipo=3&amp;ano=2015&amp;comi_nombre=de%2520Derechos%2520Humanos%2C%2520Nacionalidad%2520y%2520Ciudadan%25C3%25ADa&amp;idsesion=9570&amp;idpunto=%25%25SESIONES_CELEBRADAS.IDPUNTO%25%25&amp;fecha=03%2F06%2F2015&amp;inicio=12%3A00&amp;termino=13%3A30&amp;lugar=Sala%25207%2C%2520Senado%2C%2520Valpara%25C3%25ADso&amp;listado=2</w:t>
        </w:r>
      </w:hyperlink>
      <w:r w:rsidRPr="00593DA5">
        <w:rPr>
          <w:rFonts w:ascii="Times New Roman" w:hAnsi="Times New Roman" w:cs="Times New Roman"/>
          <w:color w:val="000000" w:themeColor="text1"/>
          <w:sz w:val="20"/>
          <w:szCs w:val="20"/>
          <w:lang w:val="es-ES"/>
        </w:rPr>
        <w:t xml:space="preserve"> . </w:t>
      </w:r>
      <w:r w:rsidRPr="00593DA5">
        <w:rPr>
          <w:rFonts w:ascii="Times New Roman" w:hAnsi="Times New Roman" w:cs="Times New Roman"/>
          <w:color w:val="000000" w:themeColor="text1"/>
          <w:sz w:val="20"/>
          <w:szCs w:val="20"/>
        </w:rPr>
        <w:t>Accessed:</w:t>
      </w:r>
      <w:r w:rsidRPr="00593DA5">
        <w:rPr>
          <w:rFonts w:ascii="Times New Roman" w:hAnsi="Times New Roman" w:cs="Times New Roman"/>
          <w:color w:val="000000" w:themeColor="text1"/>
          <w:sz w:val="20"/>
          <w:szCs w:val="20"/>
          <w:lang w:val="es-ES"/>
        </w:rPr>
        <w:t xml:space="preserve"> 20 June 2015.</w:t>
      </w:r>
    </w:p>
  </w:footnote>
  <w:footnote w:id="7">
    <w:p w14:paraId="0FE3EB25" w14:textId="017D0662" w:rsidR="007975EE" w:rsidRPr="00550803" w:rsidRDefault="007975EE" w:rsidP="00593DA5">
      <w:pPr>
        <w:pStyle w:val="Textonotapie"/>
        <w:rPr>
          <w:lang w:val="es-ES_tradnl"/>
        </w:rPr>
      </w:pPr>
      <w:r w:rsidRPr="00593DA5">
        <w:rPr>
          <w:rStyle w:val="Refdenotaalpie"/>
          <w:rFonts w:ascii="Times New Roman" w:hAnsi="Times New Roman" w:cs="Times New Roman"/>
          <w:color w:val="000000" w:themeColor="text1"/>
          <w:sz w:val="20"/>
          <w:szCs w:val="20"/>
        </w:rPr>
        <w:footnoteRef/>
      </w:r>
      <w:r w:rsidRPr="00593DA5">
        <w:rPr>
          <w:rFonts w:ascii="Times New Roman" w:hAnsi="Times New Roman" w:cs="Times New Roman"/>
          <w:color w:val="000000" w:themeColor="text1"/>
          <w:sz w:val="20"/>
          <w:szCs w:val="20"/>
        </w:rPr>
        <w:t xml:space="preserve"> Boletín No. 10.035-17. Dispobible en: http://www.senado.cl/appsenado/index.php?mo=sesionessala&amp;ac=getCuenta&amp;iddocto=55951</w:t>
      </w:r>
    </w:p>
  </w:footnote>
  <w:footnote w:id="8">
    <w:p w14:paraId="3D134F88" w14:textId="2FE21BAF" w:rsidR="007975EE" w:rsidRPr="005526C5" w:rsidRDefault="007975EE">
      <w:pPr>
        <w:pStyle w:val="Textonotapie"/>
        <w:rPr>
          <w:rFonts w:ascii="Times New Roman" w:hAnsi="Times New Roman" w:cs="Times New Roman"/>
          <w:sz w:val="20"/>
          <w:szCs w:val="20"/>
          <w:lang w:val="es-ES_tradnl"/>
        </w:rPr>
      </w:pPr>
      <w:r w:rsidRPr="005526C5">
        <w:rPr>
          <w:rStyle w:val="Refdenotaalpie"/>
          <w:rFonts w:ascii="Times New Roman" w:hAnsi="Times New Roman" w:cs="Times New Roman"/>
          <w:sz w:val="20"/>
          <w:szCs w:val="20"/>
        </w:rPr>
        <w:footnoteRef/>
      </w:r>
      <w:r w:rsidRPr="005526C5">
        <w:rPr>
          <w:rFonts w:ascii="Times New Roman" w:hAnsi="Times New Roman" w:cs="Times New Roman"/>
          <w:sz w:val="20"/>
          <w:szCs w:val="20"/>
        </w:rPr>
        <w:t xml:space="preserve"> </w:t>
      </w:r>
      <w:r w:rsidRPr="005526C5">
        <w:rPr>
          <w:rFonts w:ascii="Times New Roman" w:hAnsi="Times New Roman" w:cs="Times New Roman"/>
          <w:sz w:val="20"/>
          <w:szCs w:val="20"/>
          <w:lang w:val="es-ES_tradnl"/>
        </w:rPr>
        <w:t xml:space="preserve">Ibíd. </w:t>
      </w:r>
    </w:p>
  </w:footnote>
  <w:footnote w:id="9">
    <w:p w14:paraId="11DDA0E1" w14:textId="77777777" w:rsidR="007975EE" w:rsidRPr="00995BD2" w:rsidRDefault="007975EE" w:rsidP="00D35244">
      <w:pPr>
        <w:pStyle w:val="Textonotapie"/>
        <w:rPr>
          <w:lang w:val="es-ES_tradnl"/>
        </w:rPr>
      </w:pPr>
      <w:r>
        <w:rPr>
          <w:rStyle w:val="Refdenotaalpie"/>
        </w:rPr>
        <w:footnoteRef/>
      </w:r>
      <w:r>
        <w:t xml:space="preserve"> </w:t>
      </w:r>
      <w:r w:rsidRPr="006F066F">
        <w:rPr>
          <w:rFonts w:ascii="Times New Roman" w:hAnsi="Times New Roman" w:cs="Times New Roman"/>
          <w:sz w:val="20"/>
          <w:szCs w:val="20"/>
          <w:lang w:val="es-ES_tradnl"/>
        </w:rPr>
        <w:t>Entrevista con Karen Atala, Directora de la Fundación Iguales, Chile via skype (Junio 29, 2015)</w:t>
      </w:r>
    </w:p>
  </w:footnote>
  <w:footnote w:id="10">
    <w:p w14:paraId="4AE406E8" w14:textId="52BBB600" w:rsidR="007975EE" w:rsidRPr="00B54AC7" w:rsidRDefault="007975EE" w:rsidP="001A7DEF">
      <w:pPr>
        <w:pStyle w:val="Textonotapie"/>
        <w:rPr>
          <w:lang w:val="es-ES_tradnl"/>
        </w:rPr>
      </w:pPr>
      <w:r>
        <w:rPr>
          <w:rStyle w:val="Refdenotaalpie"/>
        </w:rPr>
        <w:footnoteRef/>
      </w:r>
      <w:r>
        <w:t xml:space="preserve"> </w:t>
      </w:r>
      <w:r w:rsidRPr="003E7E31">
        <w:rPr>
          <w:sz w:val="20"/>
          <w:szCs w:val="20"/>
        </w:rPr>
        <w:t>Comité de los Derechos del Niño.</w:t>
      </w:r>
      <w:r>
        <w:t xml:space="preserve"> </w:t>
      </w:r>
      <w:r w:rsidRPr="003E7E31">
        <w:rPr>
          <w:sz w:val="20"/>
          <w:szCs w:val="20"/>
        </w:rPr>
        <w:t>Observaciones Finales</w:t>
      </w:r>
      <w:r>
        <w:t xml:space="preserve">: </w:t>
      </w:r>
      <w:r w:rsidRPr="00184235">
        <w:rPr>
          <w:i/>
          <w:sz w:val="20"/>
          <w:szCs w:val="20"/>
        </w:rPr>
        <w:t>Chile</w:t>
      </w:r>
      <w:r w:rsidRPr="00184235">
        <w:rPr>
          <w:sz w:val="20"/>
          <w:szCs w:val="20"/>
        </w:rPr>
        <w:t xml:space="preserve">, U.N. Doc. </w:t>
      </w:r>
      <w:r w:rsidRPr="00184235">
        <w:rPr>
          <w:rFonts w:ascii="Times New Roman" w:hAnsi="Times New Roman" w:cs="Times New Roman"/>
          <w:sz w:val="20"/>
          <w:szCs w:val="20"/>
        </w:rPr>
        <w:t>CRC/C/CHL/CO/3 ¶ 30</w:t>
      </w:r>
      <w:r>
        <w:rPr>
          <w:rFonts w:ascii="Times New Roman" w:hAnsi="Times New Roman" w:cs="Times New Roman"/>
          <w:sz w:val="20"/>
          <w:szCs w:val="20"/>
        </w:rPr>
        <w:t xml:space="preserve"> (2007)</w:t>
      </w:r>
    </w:p>
  </w:footnote>
  <w:footnote w:id="11">
    <w:p w14:paraId="47F9EC37" w14:textId="77777777" w:rsidR="007975EE" w:rsidRPr="00CE5537" w:rsidRDefault="007975EE" w:rsidP="00A409A5">
      <w:pPr>
        <w:pStyle w:val="Textonotapie"/>
        <w:rPr>
          <w:lang w:val="es-ES_tradnl"/>
        </w:rPr>
      </w:pPr>
      <w:r>
        <w:rPr>
          <w:rStyle w:val="Refdenotaalpie"/>
        </w:rPr>
        <w:footnoteRef/>
      </w:r>
      <w:r>
        <w:t xml:space="preserve"> </w:t>
      </w:r>
      <w:r w:rsidRPr="00A409A5">
        <w:rPr>
          <w:rFonts w:cs="Verdana"/>
          <w:bCs/>
          <w:sz w:val="20"/>
          <w:szCs w:val="20"/>
          <w:lang w:val="es-ES"/>
        </w:rPr>
        <w:t xml:space="preserve">Corte IDH. </w:t>
      </w:r>
      <w:r w:rsidRPr="00A409A5">
        <w:rPr>
          <w:rFonts w:cs="Verdana"/>
          <w:bCs/>
          <w:i/>
          <w:sz w:val="20"/>
          <w:szCs w:val="20"/>
          <w:lang w:val="es-ES"/>
        </w:rPr>
        <w:t>Caso Atala Riffo y Niñas Vs. Chile</w:t>
      </w:r>
      <w:r w:rsidRPr="00A409A5">
        <w:rPr>
          <w:rFonts w:cs="Verdana"/>
          <w:bCs/>
          <w:sz w:val="20"/>
          <w:szCs w:val="20"/>
          <w:lang w:val="es-ES"/>
        </w:rPr>
        <w:t xml:space="preserve">. Fondo, Reparaciones y Costas. Sentencia del 24 de febrero de 2012. Serie C No. 239, </w:t>
      </w:r>
      <w:r w:rsidRPr="00A409A5">
        <w:rPr>
          <w:rFonts w:cs="Times New Roman"/>
          <w:bCs/>
          <w:sz w:val="20"/>
          <w:szCs w:val="20"/>
          <w:lang w:val="es-ES"/>
        </w:rPr>
        <w:t>¶ 267- 272</w:t>
      </w:r>
    </w:p>
  </w:footnote>
  <w:footnote w:id="12">
    <w:p w14:paraId="4D072224" w14:textId="77777777" w:rsidR="007975EE" w:rsidRPr="0071596B" w:rsidRDefault="007975EE" w:rsidP="003E7E31">
      <w:pPr>
        <w:pStyle w:val="Textonotapie"/>
        <w:rPr>
          <w:lang w:val="es-ES_tradnl"/>
        </w:rPr>
      </w:pPr>
      <w:r>
        <w:rPr>
          <w:rStyle w:val="Refdenotaalpie"/>
        </w:rPr>
        <w:footnoteRef/>
      </w:r>
      <w:r>
        <w:t xml:space="preserve"> </w:t>
      </w:r>
      <w:r w:rsidRPr="0071596B">
        <w:rPr>
          <w:rFonts w:cs="Verdana"/>
          <w:bCs/>
          <w:sz w:val="18"/>
          <w:szCs w:val="18"/>
          <w:lang w:val="es-ES"/>
        </w:rPr>
        <w:t xml:space="preserve">Corte IDH. </w:t>
      </w:r>
      <w:r w:rsidRPr="0071596B">
        <w:rPr>
          <w:rFonts w:cs="Verdana"/>
          <w:bCs/>
          <w:i/>
          <w:sz w:val="18"/>
          <w:szCs w:val="18"/>
          <w:lang w:val="es-ES"/>
        </w:rPr>
        <w:t>Caso Atala Riffo y Niñas Vs. Chile</w:t>
      </w:r>
      <w:r w:rsidRPr="0071596B">
        <w:rPr>
          <w:rFonts w:cs="Verdana"/>
          <w:bCs/>
          <w:sz w:val="18"/>
          <w:szCs w:val="18"/>
          <w:lang w:val="es-ES"/>
        </w:rPr>
        <w:t>. Fondo, Reparaciones y Costas. Sentencia del 24 de febrero</w:t>
      </w:r>
      <w:r w:rsidRPr="00EA0C6F">
        <w:rPr>
          <w:rFonts w:cs="Verdana"/>
          <w:bCs/>
          <w:sz w:val="20"/>
          <w:szCs w:val="20"/>
          <w:lang w:val="es-ES"/>
        </w:rPr>
        <w:t xml:space="preserve"> de 2012. Serie C No. 239</w:t>
      </w:r>
      <w:r>
        <w:rPr>
          <w:rFonts w:cs="Verdana"/>
          <w:bCs/>
          <w:sz w:val="20"/>
          <w:szCs w:val="20"/>
          <w:lang w:val="es-ES"/>
        </w:rPr>
        <w:t xml:space="preserve">, </w:t>
      </w:r>
      <w:r w:rsidRPr="00EA0C6F">
        <w:rPr>
          <w:rFonts w:cs="Times New Roman"/>
          <w:bCs/>
          <w:sz w:val="20"/>
          <w:szCs w:val="20"/>
          <w:lang w:val="es-ES"/>
        </w:rPr>
        <w:t xml:space="preserve">¶ </w:t>
      </w:r>
      <w:r>
        <w:rPr>
          <w:rFonts w:cs="Times New Roman"/>
          <w:bCs/>
          <w:sz w:val="20"/>
          <w:szCs w:val="20"/>
          <w:lang w:val="es-ES"/>
        </w:rPr>
        <w:t>271</w:t>
      </w:r>
    </w:p>
  </w:footnote>
  <w:footnote w:id="13">
    <w:p w14:paraId="54C8B922" w14:textId="590692C3" w:rsidR="007975EE" w:rsidRPr="00593DA5" w:rsidRDefault="007975EE" w:rsidP="00593DA5">
      <w:pPr>
        <w:pStyle w:val="Textonotapie"/>
        <w:jc w:val="both"/>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w:t>
      </w:r>
      <w:r w:rsidRPr="00593DA5">
        <w:rPr>
          <w:rFonts w:ascii="Times New Roman" w:hAnsi="Times New Roman" w:cs="Times New Roman"/>
          <w:sz w:val="20"/>
          <w:szCs w:val="20"/>
          <w:lang w:val="es-ES_tradnl"/>
        </w:rPr>
        <w:t xml:space="preserve">MADRE/IHRC CUNY. </w:t>
      </w:r>
      <w:r w:rsidRPr="00593DA5">
        <w:rPr>
          <w:rFonts w:ascii="Times New Roman" w:hAnsi="Times New Roman" w:cs="Times New Roman"/>
          <w:i/>
          <w:sz w:val="20"/>
          <w:szCs w:val="20"/>
          <w:lang w:val="es-ES_tradnl"/>
        </w:rPr>
        <w:t>Memorandum vía e-mail. Actualización del cumplimiento de las medidas de reparación a Karen Atala e hijas ordenadas por la Corte Interamericana</w:t>
      </w:r>
      <w:r w:rsidRPr="00593DA5">
        <w:rPr>
          <w:rFonts w:ascii="Times New Roman" w:hAnsi="Times New Roman" w:cs="Times New Roman"/>
          <w:sz w:val="20"/>
          <w:szCs w:val="20"/>
          <w:lang w:val="es-ES_tradnl"/>
        </w:rPr>
        <w:t xml:space="preserve"> (Junio 3, 2013).</w:t>
      </w:r>
    </w:p>
  </w:footnote>
  <w:footnote w:id="14">
    <w:p w14:paraId="5A608359" w14:textId="3E5D440D" w:rsidR="007975EE" w:rsidRPr="00593DA5" w:rsidRDefault="007975EE" w:rsidP="00762F7D">
      <w:pPr>
        <w:pStyle w:val="Textonotapie"/>
        <w:jc w:val="both"/>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w:t>
      </w:r>
      <w:r w:rsidR="007D647B" w:rsidRPr="006F066F">
        <w:rPr>
          <w:rFonts w:ascii="Times New Roman" w:hAnsi="Times New Roman" w:cs="Times New Roman"/>
          <w:sz w:val="20"/>
          <w:szCs w:val="20"/>
          <w:lang w:val="es-ES_tradnl"/>
        </w:rPr>
        <w:t>Entrevista con Karen Atala, Directora de la Fundación Iguales, Chile via skype (Junio 29, 2015)</w:t>
      </w:r>
    </w:p>
  </w:footnote>
  <w:footnote w:id="15">
    <w:p w14:paraId="28E9C60E" w14:textId="0FE985F7" w:rsidR="007975EE" w:rsidRPr="00593DA5" w:rsidRDefault="007975EE" w:rsidP="00593DA5">
      <w:pPr>
        <w:pStyle w:val="Textonotapie"/>
        <w:jc w:val="both"/>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lang w:val="es-ES_tradnl"/>
        </w:rPr>
        <w:footnoteRef/>
      </w:r>
      <w:r w:rsidRPr="00593DA5">
        <w:rPr>
          <w:rFonts w:ascii="Times New Roman" w:hAnsi="Times New Roman" w:cs="Times New Roman"/>
          <w:sz w:val="20"/>
          <w:szCs w:val="20"/>
          <w:lang w:val="es-ES_tradnl"/>
        </w:rPr>
        <w:t xml:space="preserve"> Comité de los Derechos del Niño. Observaciones Finales: </w:t>
      </w:r>
      <w:r w:rsidRPr="00593DA5">
        <w:rPr>
          <w:rFonts w:ascii="Times New Roman" w:hAnsi="Times New Roman" w:cs="Times New Roman"/>
          <w:i/>
          <w:sz w:val="20"/>
          <w:szCs w:val="20"/>
          <w:lang w:val="es-ES_tradnl"/>
        </w:rPr>
        <w:t>Chile</w:t>
      </w:r>
      <w:r w:rsidRPr="00593DA5">
        <w:rPr>
          <w:rFonts w:ascii="Times New Roman" w:hAnsi="Times New Roman" w:cs="Times New Roman"/>
          <w:sz w:val="20"/>
          <w:szCs w:val="20"/>
          <w:lang w:val="es-ES_tradnl"/>
        </w:rPr>
        <w:t>, U.N. Doc. CRC/C/CHL/CO/3 ¶ 29 (2007)</w:t>
      </w:r>
    </w:p>
  </w:footnote>
  <w:footnote w:id="16">
    <w:p w14:paraId="5B159053" w14:textId="0B14F7B7" w:rsidR="007975EE" w:rsidRPr="00593DA5" w:rsidRDefault="007975EE" w:rsidP="00593DA5">
      <w:pPr>
        <w:pStyle w:val="Textonotapie"/>
        <w:jc w:val="both"/>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lang w:val="es-ES_tradnl"/>
        </w:rPr>
        <w:footnoteRef/>
      </w:r>
      <w:r w:rsidRPr="00593DA5">
        <w:rPr>
          <w:rFonts w:ascii="Times New Roman" w:hAnsi="Times New Roman" w:cs="Times New Roman"/>
          <w:sz w:val="20"/>
          <w:szCs w:val="20"/>
          <w:lang w:val="es-ES_tradnl"/>
        </w:rPr>
        <w:t xml:space="preserve"> </w:t>
      </w:r>
      <w:r w:rsidR="007D647B" w:rsidRPr="00593DA5">
        <w:rPr>
          <w:rFonts w:ascii="Times New Roman" w:eastAsia="Times New Roman" w:hAnsi="Times New Roman" w:cs="Times New Roman"/>
          <w:sz w:val="20"/>
          <w:szCs w:val="20"/>
          <w:lang w:val="es-ES_tradnl"/>
        </w:rPr>
        <w:t>Decisión</w:t>
      </w:r>
      <w:r w:rsidRPr="00593DA5">
        <w:rPr>
          <w:rFonts w:ascii="Times New Roman" w:eastAsia="Times New Roman" w:hAnsi="Times New Roman" w:cs="Times New Roman"/>
          <w:sz w:val="20"/>
          <w:szCs w:val="20"/>
          <w:lang w:val="es-ES_tradnl"/>
        </w:rPr>
        <w:t xml:space="preserve"> de la Corte Constitucional, Enero 4, 2011, Caso #1683-2010</w:t>
      </w:r>
    </w:p>
  </w:footnote>
  <w:footnote w:id="17">
    <w:p w14:paraId="3CD6FAE8" w14:textId="17659115" w:rsidR="007975EE" w:rsidRPr="003865BF" w:rsidRDefault="007975EE" w:rsidP="00593DA5">
      <w:pPr>
        <w:pStyle w:val="Textonotapie"/>
        <w:jc w:val="both"/>
        <w:rPr>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w:t>
      </w:r>
      <w:r w:rsidRPr="00593DA5">
        <w:rPr>
          <w:rFonts w:ascii="Times New Roman" w:hAnsi="Times New Roman" w:cs="Times New Roman"/>
          <w:sz w:val="20"/>
          <w:szCs w:val="20"/>
          <w:lang w:val="es-ES_tradnl"/>
        </w:rPr>
        <w:t>CRC. Comentario General No. 13 (2011) U.N. Doc. CRC/C/GC/13,  ¶ 3 (a)</w:t>
      </w:r>
    </w:p>
  </w:footnote>
  <w:footnote w:id="18">
    <w:p w14:paraId="6CF29924" w14:textId="77777777" w:rsidR="007975EE" w:rsidRPr="00593DA5" w:rsidRDefault="007975EE" w:rsidP="00005F87">
      <w:pPr>
        <w:pStyle w:val="Textonotapie"/>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lang w:val="es-ES_tradnl"/>
        </w:rPr>
        <w:footnoteRef/>
      </w:r>
      <w:r w:rsidRPr="00593DA5">
        <w:rPr>
          <w:rFonts w:ascii="Times New Roman" w:hAnsi="Times New Roman" w:cs="Times New Roman"/>
          <w:sz w:val="20"/>
          <w:szCs w:val="20"/>
        </w:rPr>
        <w:t xml:space="preserve"> Ibid, ¶ 62</w:t>
      </w:r>
    </w:p>
  </w:footnote>
  <w:footnote w:id="19">
    <w:p w14:paraId="20425240" w14:textId="77777777" w:rsidR="007975EE" w:rsidRPr="00593DA5" w:rsidRDefault="007975EE" w:rsidP="008161BE">
      <w:pPr>
        <w:pStyle w:val="Textonotapie"/>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lang w:val="es-ES_tradnl"/>
        </w:rPr>
        <w:footnoteRef/>
      </w:r>
      <w:r w:rsidRPr="00593DA5">
        <w:rPr>
          <w:rFonts w:ascii="Times New Roman" w:hAnsi="Times New Roman" w:cs="Times New Roman"/>
          <w:sz w:val="20"/>
          <w:szCs w:val="20"/>
          <w:lang w:val="es-ES_tradnl"/>
        </w:rPr>
        <w:t xml:space="preserve"> </w:t>
      </w:r>
      <w:r w:rsidRPr="00593DA5">
        <w:rPr>
          <w:rFonts w:ascii="Times New Roman" w:hAnsi="Times New Roman" w:cs="Times New Roman"/>
          <w:sz w:val="20"/>
          <w:szCs w:val="20"/>
        </w:rPr>
        <w:t>Ibid, ¶ 62</w:t>
      </w:r>
    </w:p>
  </w:footnote>
  <w:footnote w:id="20">
    <w:p w14:paraId="23EC5AC0" w14:textId="62D0ADA9" w:rsidR="007975EE" w:rsidRPr="00593DA5" w:rsidRDefault="007975EE" w:rsidP="00593DA5">
      <w:pPr>
        <w:pStyle w:val="Textonotapie"/>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UNESCO. Disponible en: http://unesdoc.unesco.org/images/0022/002229/222918S.pdf</w:t>
      </w:r>
    </w:p>
  </w:footnote>
  <w:footnote w:id="21">
    <w:p w14:paraId="310E9397" w14:textId="6B1E4155" w:rsidR="007975EE" w:rsidRPr="00593DA5" w:rsidRDefault="007975EE" w:rsidP="00593DA5">
      <w:pPr>
        <w:rPr>
          <w:rFonts w:ascii="Times New Roman" w:hAnsi="Times New Roman" w:cs="Times New Roman"/>
          <w:sz w:val="20"/>
          <w:szCs w:val="20"/>
        </w:rPr>
      </w:pPr>
      <w:r w:rsidRPr="00593DA5">
        <w:rPr>
          <w:rStyle w:val="Refdenotaalpie"/>
          <w:rFonts w:ascii="Times New Roman" w:hAnsi="Times New Roman" w:cs="Times New Roman"/>
          <w:sz w:val="20"/>
          <w:szCs w:val="20"/>
        </w:rPr>
        <w:footnoteRef/>
      </w:r>
      <w:r>
        <w:rPr>
          <w:rFonts w:ascii="Times New Roman" w:hAnsi="Times New Roman" w:cs="Times New Roman"/>
          <w:sz w:val="20"/>
          <w:szCs w:val="20"/>
        </w:rPr>
        <w:t xml:space="preserve"> Bockt</w:t>
      </w:r>
      <w:r w:rsidRPr="00593DA5">
        <w:rPr>
          <w:rFonts w:ascii="Times New Roman" w:hAnsi="Times New Roman" w:cs="Times New Roman"/>
          <w:sz w:val="20"/>
          <w:szCs w:val="20"/>
        </w:rPr>
        <w:t>ing, Walter y Joanne Keatley (2013) Por la salud de las Personas Trans, p. 51 Available at: http://176.32.230.27/worldsexology.org/wp-content/uploads/2013/08/por-la-salud-de-las-personas-trans.pdf</w:t>
      </w:r>
    </w:p>
  </w:footnote>
  <w:footnote w:id="22">
    <w:p w14:paraId="70C75E54" w14:textId="21C1664B" w:rsidR="007975EE" w:rsidRPr="00593DA5" w:rsidRDefault="007975EE" w:rsidP="00593DA5">
      <w:pPr>
        <w:pStyle w:val="Textonotapie"/>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rPr>
        <w:footnoteRef/>
      </w:r>
      <w:r>
        <w:rPr>
          <w:rFonts w:ascii="Times New Roman" w:hAnsi="Times New Roman" w:cs="Times New Roman"/>
          <w:sz w:val="20"/>
          <w:szCs w:val="20"/>
        </w:rPr>
        <w:t xml:space="preserve"> Ministerio de Salud. Situación actual del suicidio adolescente en Chile, con perspectiva de género, p.5 (Diciembre, 2013) </w:t>
      </w:r>
      <w:r w:rsidRPr="00593DA5">
        <w:rPr>
          <w:rFonts w:ascii="Times New Roman" w:hAnsi="Times New Roman" w:cs="Times New Roman"/>
          <w:sz w:val="20"/>
          <w:szCs w:val="20"/>
        </w:rPr>
        <w:t xml:space="preserve">Disponible en: </w:t>
      </w:r>
      <w:r w:rsidRPr="00593DA5">
        <w:rPr>
          <w:rFonts w:ascii="Times New Roman" w:hAnsi="Times New Roman" w:cs="Times New Roman"/>
          <w:sz w:val="20"/>
          <w:szCs w:val="20"/>
          <w:lang w:val="es-ES_tradnl"/>
        </w:rPr>
        <w:t>http://web.minsal.cl/sites/default/files/files/SituacionActualdelSuicidioAdolescente.pdf</w:t>
      </w:r>
    </w:p>
  </w:footnote>
  <w:footnote w:id="23">
    <w:p w14:paraId="58ADE98F" w14:textId="7FE509EB" w:rsidR="007975EE" w:rsidRPr="00593DA5" w:rsidRDefault="007975EE" w:rsidP="00593DA5">
      <w:pPr>
        <w:pStyle w:val="Textonotapie"/>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Ver por ejemplo: CRC, </w:t>
      </w:r>
      <w:r w:rsidRPr="00593DA5">
        <w:rPr>
          <w:rFonts w:ascii="Times New Roman" w:hAnsi="Times New Roman" w:cs="Times New Roman"/>
          <w:i/>
          <w:sz w:val="20"/>
          <w:szCs w:val="20"/>
        </w:rPr>
        <w:t>Concluding Observations: UK</w:t>
      </w:r>
      <w:r w:rsidRPr="00593DA5">
        <w:rPr>
          <w:rFonts w:ascii="Times New Roman" w:hAnsi="Times New Roman" w:cs="Times New Roman"/>
          <w:sz w:val="20"/>
          <w:szCs w:val="20"/>
        </w:rPr>
        <w:t xml:space="preserve">, ¶ 24 and 25 (b) UN Doc. CRC/C/GBR/CO/4  (20 October 2008) ; CRC, </w:t>
      </w:r>
      <w:r w:rsidRPr="00593DA5">
        <w:rPr>
          <w:rFonts w:ascii="Times New Roman" w:hAnsi="Times New Roman" w:cs="Times New Roman"/>
          <w:i/>
          <w:sz w:val="20"/>
          <w:szCs w:val="20"/>
        </w:rPr>
        <w:t>Concluding Observations: Australia</w:t>
      </w:r>
      <w:r w:rsidRPr="00593DA5">
        <w:rPr>
          <w:rFonts w:ascii="Times New Roman" w:hAnsi="Times New Roman" w:cs="Times New Roman"/>
          <w:sz w:val="20"/>
          <w:szCs w:val="20"/>
        </w:rPr>
        <w:t>, ¶ 30(f) UN Doc. CRC/C/AUS/CO/4 (28 August 2012).</w:t>
      </w:r>
    </w:p>
  </w:footnote>
  <w:footnote w:id="24">
    <w:p w14:paraId="1EAA9344" w14:textId="75A506DD" w:rsidR="007975EE" w:rsidRPr="00D01E55" w:rsidRDefault="007975EE" w:rsidP="00593DA5">
      <w:pPr>
        <w:pStyle w:val="Textonotapie"/>
        <w:rPr>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w:t>
      </w:r>
      <w:r w:rsidRPr="00593DA5">
        <w:rPr>
          <w:rFonts w:ascii="Times New Roman" w:hAnsi="Times New Roman" w:cs="Times New Roman"/>
          <w:i/>
          <w:sz w:val="20"/>
          <w:szCs w:val="20"/>
        </w:rPr>
        <w:t>CRC, Observaciones Finales:</w:t>
      </w:r>
      <w:r w:rsidRPr="00593DA5">
        <w:rPr>
          <w:rFonts w:ascii="Times New Roman" w:hAnsi="Times New Roman" w:cs="Times New Roman"/>
          <w:sz w:val="20"/>
          <w:szCs w:val="20"/>
        </w:rPr>
        <w:t xml:space="preserve"> Chile, U.N. Doc. CRC/C/CHL/CO/3 ¶ 31 (2007)</w:t>
      </w:r>
    </w:p>
  </w:footnote>
  <w:footnote w:id="25">
    <w:p w14:paraId="28FFC40F" w14:textId="0483B24E" w:rsidR="007975EE" w:rsidRPr="00593DA5" w:rsidRDefault="007975EE">
      <w:pPr>
        <w:pStyle w:val="Textonotapie"/>
        <w:rPr>
          <w:rFonts w:ascii="Times New Roman" w:hAnsi="Times New Roman" w:cs="Times New Roman"/>
          <w:sz w:val="20"/>
          <w:szCs w:val="20"/>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CRC, </w:t>
      </w:r>
      <w:r w:rsidRPr="00593DA5">
        <w:rPr>
          <w:rFonts w:ascii="Times New Roman" w:hAnsi="Times New Roman" w:cs="Times New Roman"/>
          <w:i/>
          <w:sz w:val="20"/>
          <w:szCs w:val="20"/>
        </w:rPr>
        <w:t>Observación General</w:t>
      </w:r>
      <w:r w:rsidRPr="00593DA5">
        <w:rPr>
          <w:rFonts w:ascii="Times New Roman" w:hAnsi="Times New Roman" w:cs="Times New Roman"/>
          <w:sz w:val="20"/>
          <w:szCs w:val="20"/>
        </w:rPr>
        <w:t xml:space="preserve"> No. 13 ¶ 3 ( c)</w:t>
      </w:r>
    </w:p>
  </w:footnote>
  <w:footnote w:id="26">
    <w:p w14:paraId="352E33A2" w14:textId="66FC9F5C" w:rsidR="007975EE" w:rsidRPr="00F9276A" w:rsidRDefault="007975EE">
      <w:pPr>
        <w:pStyle w:val="Textonotapie"/>
        <w:rPr>
          <w:sz w:val="20"/>
          <w:szCs w:val="20"/>
          <w:lang w:val="es-ES_tradnl"/>
        </w:rPr>
      </w:pPr>
      <w:r w:rsidRPr="00593DA5">
        <w:rPr>
          <w:rStyle w:val="Refdenotaalpie"/>
          <w:rFonts w:ascii="Times New Roman" w:hAnsi="Times New Roman" w:cs="Times New Roman"/>
          <w:sz w:val="20"/>
          <w:szCs w:val="20"/>
        </w:rPr>
        <w:footnoteRef/>
      </w:r>
      <w:r w:rsidRPr="00593DA5">
        <w:rPr>
          <w:rFonts w:ascii="Times New Roman" w:hAnsi="Times New Roman" w:cs="Times New Roman"/>
          <w:sz w:val="20"/>
          <w:szCs w:val="20"/>
        </w:rPr>
        <w:t xml:space="preserve"> CRC. Comentario General No. 13 (2011) ¶ 3 ( c)</w:t>
      </w:r>
    </w:p>
  </w:footnote>
  <w:footnote w:id="27">
    <w:p w14:paraId="6527114A" w14:textId="61D9CD08" w:rsidR="007975EE" w:rsidRPr="008F07B0" w:rsidRDefault="007975EE" w:rsidP="008F07B0">
      <w:pPr>
        <w:rPr>
          <w:rFonts w:ascii="Times New Roman" w:hAnsi="Times New Roman" w:cs="Times New Roman"/>
          <w:sz w:val="20"/>
          <w:szCs w:val="20"/>
          <w:lang w:eastAsia="en-US"/>
        </w:rPr>
      </w:pPr>
      <w:r>
        <w:rPr>
          <w:rStyle w:val="Refdenotaalpie"/>
        </w:rPr>
        <w:footnoteRef/>
      </w:r>
      <w:r>
        <w:t xml:space="preserve"> </w:t>
      </w:r>
      <w:r w:rsidRPr="00651136">
        <w:rPr>
          <w:rFonts w:ascii="Times New Roman" w:hAnsi="Times New Roman" w:cs="Times New Roman"/>
          <w:i/>
          <w:iCs/>
          <w:sz w:val="20"/>
          <w:szCs w:val="20"/>
          <w:lang w:eastAsia="en-US"/>
        </w:rPr>
        <w:t>Goodwin v United Kingdom</w:t>
      </w:r>
      <w:r w:rsidRPr="00651136">
        <w:rPr>
          <w:rFonts w:ascii="Times New Roman" w:hAnsi="Times New Roman" w:cs="Times New Roman"/>
          <w:sz w:val="20"/>
          <w:szCs w:val="20"/>
          <w:lang w:eastAsia="en-US"/>
        </w:rPr>
        <w:t xml:space="preserve">, App. No. 28957/95 (Eur. Ct. H.R. Grand Chamber, July 11, 2002), </w:t>
      </w:r>
      <w:r w:rsidRPr="00651136">
        <w:rPr>
          <w:rFonts w:ascii="Times New Roman" w:hAnsi="Times New Roman" w:cs="Times New Roman"/>
          <w:sz w:val="20"/>
          <w:szCs w:val="20"/>
        </w:rPr>
        <w:t>¶</w:t>
      </w:r>
      <w:r w:rsidRPr="00651136">
        <w:rPr>
          <w:rFonts w:ascii="Times New Roman" w:hAnsi="Times New Roman" w:cs="Times New Roman"/>
          <w:sz w:val="20"/>
          <w:szCs w:val="20"/>
          <w:lang w:eastAsia="en-US"/>
        </w:rPr>
        <w:t xml:space="preserve"> 74, 91</w:t>
      </w:r>
    </w:p>
  </w:footnote>
  <w:footnote w:id="28">
    <w:p w14:paraId="0394BBE9" w14:textId="1397487F" w:rsidR="007975EE" w:rsidRPr="008F07B0" w:rsidRDefault="007975EE">
      <w:pPr>
        <w:pStyle w:val="Textonotapie"/>
        <w:rPr>
          <w:lang w:val="es-ES_tradnl"/>
        </w:rPr>
      </w:pPr>
      <w:r>
        <w:rPr>
          <w:rStyle w:val="Refdenotaalpie"/>
        </w:rPr>
        <w:footnoteRef/>
      </w:r>
      <w:r>
        <w:t xml:space="preserve"> </w:t>
      </w:r>
      <w:r w:rsidRPr="008F07B0">
        <w:rPr>
          <w:sz w:val="20"/>
          <w:szCs w:val="20"/>
        </w:rPr>
        <w:t>Ver, por ejemplo</w:t>
      </w:r>
      <w:r>
        <w:t xml:space="preserve">: </w:t>
      </w:r>
      <w:r w:rsidRPr="00651136">
        <w:rPr>
          <w:rFonts w:ascii="Times" w:eastAsia="Times New Roman" w:hAnsi="Times" w:cs="Times New Roman"/>
          <w:sz w:val="20"/>
          <w:szCs w:val="20"/>
          <w:lang w:eastAsia="en-US"/>
        </w:rPr>
        <w:t>Rees v United Kingdom, App. No. 0532/81 (Eur. Ct. H.R. (plenary) October 17 1986); Cossey v United Kingdom, App. No. 0532/81 (Eur. Ct. H.R. (plenary) September 27, 1990); X, Y and Z v United Kingdom, App. No. 21830/93 (Eur. Ct. H.R. Grand Chamber, April 22 1997); Sheffield and Horsham v United Kingdom, App Nos 22985/93, 23390/94 (Eur. Ct. H.R. Grand Chamber July 30, 1998).</w:t>
      </w:r>
    </w:p>
  </w:footnote>
  <w:footnote w:id="29">
    <w:p w14:paraId="66DF23C0" w14:textId="0C82E06D" w:rsidR="007975EE" w:rsidRPr="00DB6728" w:rsidRDefault="007975EE">
      <w:pPr>
        <w:pStyle w:val="Textonotapie"/>
        <w:rPr>
          <w:lang w:val="es-ES_tradnl"/>
        </w:rPr>
      </w:pPr>
      <w:r>
        <w:rPr>
          <w:rStyle w:val="Refdenotaalpie"/>
        </w:rPr>
        <w:footnoteRef/>
      </w:r>
      <w:r>
        <w:t xml:space="preserve"> </w:t>
      </w:r>
      <w:r w:rsidRPr="00651136">
        <w:rPr>
          <w:rFonts w:ascii="Times New Roman" w:hAnsi="Times New Roman" w:cs="Times New Roman"/>
          <w:sz w:val="20"/>
          <w:szCs w:val="20"/>
          <w:lang w:val="es-ES_tradnl"/>
        </w:rPr>
        <w:t>I</w:t>
      </w:r>
      <w:r>
        <w:rPr>
          <w:rFonts w:ascii="Times New Roman" w:hAnsi="Times New Roman" w:cs="Times New Roman"/>
          <w:sz w:val="20"/>
          <w:szCs w:val="20"/>
          <w:lang w:val="es-ES_tradnl"/>
        </w:rPr>
        <w:t>bi</w:t>
      </w:r>
      <w:r w:rsidRPr="00651136">
        <w:rPr>
          <w:rFonts w:ascii="Times New Roman" w:hAnsi="Times New Roman" w:cs="Times New Roman"/>
          <w:sz w:val="20"/>
          <w:szCs w:val="20"/>
          <w:lang w:val="es-ES_tradnl"/>
        </w:rPr>
        <w:t xml:space="preserve">d. </w:t>
      </w:r>
      <w:r w:rsidRPr="00651136">
        <w:rPr>
          <w:rFonts w:ascii="Times New Roman" w:hAnsi="Times New Roman" w:cs="Times New Roman"/>
          <w:sz w:val="20"/>
          <w:szCs w:val="20"/>
        </w:rPr>
        <w:t>¶</w:t>
      </w:r>
      <w:r>
        <w:rPr>
          <w:rFonts w:ascii="Times New Roman" w:hAnsi="Times New Roman" w:cs="Times New Roman"/>
          <w:sz w:val="20"/>
          <w:szCs w:val="20"/>
        </w:rPr>
        <w:t xml:space="preserve"> </w:t>
      </w:r>
      <w:r w:rsidRPr="00651136">
        <w:rPr>
          <w:rFonts w:ascii="Times New Roman" w:hAnsi="Times New Roman" w:cs="Times New Roman"/>
          <w:sz w:val="20"/>
          <w:szCs w:val="20"/>
          <w:lang w:val="es-ES_tradnl"/>
        </w:rPr>
        <w:t xml:space="preserve">90. </w:t>
      </w:r>
      <w:r>
        <w:rPr>
          <w:rFonts w:ascii="Times New Roman" w:hAnsi="Times New Roman" w:cs="Times New Roman"/>
          <w:sz w:val="20"/>
          <w:szCs w:val="20"/>
          <w:lang w:val="es-ES_tradnl"/>
        </w:rPr>
        <w:t>Ver también</w:t>
      </w:r>
      <w:r w:rsidRPr="00651136">
        <w:rPr>
          <w:rFonts w:ascii="Times New Roman" w:hAnsi="Times New Roman" w:cs="Times New Roman"/>
          <w:sz w:val="20"/>
          <w:szCs w:val="20"/>
          <w:lang w:val="es-ES_tradnl"/>
        </w:rPr>
        <w:t xml:space="preserve">: I v. United Kingdom </w:t>
      </w:r>
      <w:r w:rsidRPr="00651136">
        <w:rPr>
          <w:rFonts w:ascii="Times New Roman" w:hAnsi="Times New Roman" w:cs="Times New Roman"/>
          <w:sz w:val="20"/>
          <w:szCs w:val="20"/>
          <w:lang w:eastAsia="en-US"/>
        </w:rPr>
        <w:t xml:space="preserve">App. No. 25680/94 (Eur. Ct. H.R. Grand Chamber, July 11, 2002) </w:t>
      </w:r>
      <w:r w:rsidRPr="00651136">
        <w:rPr>
          <w:rFonts w:ascii="Times New Roman" w:hAnsi="Times New Roman" w:cs="Times New Roman"/>
          <w:sz w:val="20"/>
          <w:szCs w:val="20"/>
        </w:rPr>
        <w:t xml:space="preserve">¶ </w:t>
      </w:r>
      <w:r w:rsidRPr="00651136">
        <w:rPr>
          <w:rFonts w:ascii="Times New Roman" w:hAnsi="Times New Roman" w:cs="Times New Roman"/>
          <w:sz w:val="20"/>
          <w:szCs w:val="20"/>
          <w:lang w:eastAsia="en-US"/>
        </w:rPr>
        <w:t>73.</w:t>
      </w:r>
    </w:p>
  </w:footnote>
  <w:footnote w:id="30">
    <w:p w14:paraId="7A3D54F4" w14:textId="74C7F678" w:rsidR="007975EE" w:rsidRPr="000640A9" w:rsidRDefault="007975EE">
      <w:pPr>
        <w:pStyle w:val="Textonotapie"/>
        <w:rPr>
          <w:rFonts w:ascii="Times New Roman" w:hAnsi="Times New Roman" w:cs="Times New Roman"/>
          <w:sz w:val="20"/>
          <w:szCs w:val="20"/>
          <w:lang w:val="es-ES_tradnl"/>
        </w:rPr>
      </w:pPr>
      <w:r w:rsidRPr="000640A9">
        <w:rPr>
          <w:rStyle w:val="Refdenotaalpie"/>
          <w:rFonts w:ascii="Times New Roman" w:hAnsi="Times New Roman" w:cs="Times New Roman"/>
          <w:sz w:val="20"/>
          <w:szCs w:val="20"/>
        </w:rPr>
        <w:footnoteRef/>
      </w:r>
      <w:r w:rsidRPr="000640A9">
        <w:rPr>
          <w:rFonts w:ascii="Times New Roman" w:hAnsi="Times New Roman" w:cs="Times New Roman"/>
          <w:sz w:val="20"/>
          <w:szCs w:val="20"/>
        </w:rPr>
        <w:t xml:space="preserve"> Comité de los Derechos Humanos. Observaciones Finales: Irlanda, </w:t>
      </w:r>
      <w:r w:rsidRPr="000640A9">
        <w:rPr>
          <w:rFonts w:ascii="Times New Roman" w:eastAsia="Times New Roman" w:hAnsi="Times New Roman" w:cs="Times New Roman"/>
          <w:color w:val="555555"/>
          <w:sz w:val="20"/>
          <w:szCs w:val="20"/>
          <w:shd w:val="clear" w:color="auto" w:fill="FFFFFF"/>
          <w:lang w:eastAsia="en-US"/>
        </w:rPr>
        <w:t xml:space="preserve">UN Doc. CCPR/C/IRL/CO/3 (30 Julio 2008) </w:t>
      </w:r>
      <w:r w:rsidRPr="000640A9">
        <w:rPr>
          <w:rFonts w:ascii="Times New Roman" w:hAnsi="Times New Roman" w:cs="Times New Roman"/>
          <w:sz w:val="20"/>
          <w:szCs w:val="20"/>
        </w:rPr>
        <w:t>¶ 8</w:t>
      </w:r>
    </w:p>
  </w:footnote>
  <w:footnote w:id="31">
    <w:p w14:paraId="5D5659A8" w14:textId="06C726CF" w:rsidR="007975EE" w:rsidRPr="000640A9" w:rsidRDefault="007975EE">
      <w:pPr>
        <w:pStyle w:val="Textonotapie"/>
        <w:rPr>
          <w:rFonts w:ascii="Times New Roman" w:hAnsi="Times New Roman" w:cs="Times New Roman"/>
          <w:sz w:val="20"/>
          <w:szCs w:val="20"/>
          <w:lang w:val="es-ES_tradnl"/>
        </w:rPr>
      </w:pPr>
      <w:r w:rsidRPr="000640A9">
        <w:rPr>
          <w:rStyle w:val="Refdenotaalpie"/>
          <w:rFonts w:ascii="Times New Roman" w:hAnsi="Times New Roman" w:cs="Times New Roman"/>
          <w:sz w:val="20"/>
          <w:szCs w:val="20"/>
        </w:rPr>
        <w:footnoteRef/>
      </w:r>
      <w:r w:rsidRPr="000640A9">
        <w:rPr>
          <w:rFonts w:ascii="Times New Roman" w:hAnsi="Times New Roman" w:cs="Times New Roman"/>
          <w:sz w:val="20"/>
          <w:szCs w:val="20"/>
        </w:rPr>
        <w:t xml:space="preserve"> MOVILH. XIII </w:t>
      </w:r>
      <w:r w:rsidRPr="000640A9">
        <w:rPr>
          <w:rFonts w:ascii="Times New Roman" w:hAnsi="Times New Roman" w:cs="Times New Roman"/>
          <w:sz w:val="20"/>
          <w:szCs w:val="20"/>
          <w:lang w:val="es-ES_tradnl"/>
        </w:rPr>
        <w:t>Informe Anual de derechos humanos de la diversidad sexual el Chile. Hechos 2014 (2015), p.178.  Disponible en</w:t>
      </w:r>
      <w:r w:rsidRPr="000640A9">
        <w:rPr>
          <w:rFonts w:ascii="Times New Roman" w:hAnsi="Times New Roman" w:cs="Times New Roman"/>
          <w:color w:val="000000" w:themeColor="text1"/>
          <w:sz w:val="20"/>
          <w:szCs w:val="20"/>
          <w:lang w:val="es-ES_tradnl"/>
        </w:rPr>
        <w:t xml:space="preserve">: </w:t>
      </w:r>
      <w:hyperlink r:id="rId2" w:history="1">
        <w:r w:rsidRPr="000640A9">
          <w:rPr>
            <w:rStyle w:val="Hipervnculo"/>
            <w:rFonts w:ascii="Times New Roman" w:hAnsi="Times New Roman" w:cs="Times New Roman"/>
            <w:color w:val="000000" w:themeColor="text1"/>
            <w:sz w:val="20"/>
            <w:szCs w:val="20"/>
          </w:rPr>
          <w:t>http://www.movilh.cl/chilediverso/Por_un_Chile_Diverso-Propuestas_contra_la_discriminacion.pdf</w:t>
        </w:r>
      </w:hyperlink>
    </w:p>
  </w:footnote>
  <w:footnote w:id="32">
    <w:p w14:paraId="07861CC5" w14:textId="77777777" w:rsidR="007975EE" w:rsidRPr="000640A9" w:rsidRDefault="007975EE" w:rsidP="00663A1A">
      <w:pPr>
        <w:rPr>
          <w:rFonts w:ascii="Times New Roman" w:hAnsi="Times New Roman" w:cs="Times New Roman"/>
          <w:sz w:val="20"/>
          <w:szCs w:val="20"/>
        </w:rPr>
      </w:pPr>
      <w:r w:rsidRPr="000640A9">
        <w:rPr>
          <w:rStyle w:val="Refdenotaalpie"/>
          <w:rFonts w:ascii="Times New Roman" w:hAnsi="Times New Roman" w:cs="Times New Roman"/>
          <w:sz w:val="20"/>
          <w:szCs w:val="20"/>
        </w:rPr>
        <w:footnoteRef/>
      </w:r>
      <w:r w:rsidRPr="000640A9">
        <w:rPr>
          <w:rFonts w:ascii="Times New Roman" w:hAnsi="Times New Roman" w:cs="Times New Roman"/>
          <w:sz w:val="20"/>
          <w:szCs w:val="20"/>
        </w:rPr>
        <w:t xml:space="preserve"> Ibid. </w:t>
      </w:r>
    </w:p>
  </w:footnote>
  <w:footnote w:id="33">
    <w:p w14:paraId="2E0E3135" w14:textId="7AFDE515" w:rsidR="007975EE" w:rsidRPr="000640A9" w:rsidRDefault="007975EE">
      <w:pPr>
        <w:pStyle w:val="Textonotapie"/>
        <w:rPr>
          <w:rFonts w:ascii="Times New Roman" w:hAnsi="Times New Roman" w:cs="Times New Roman"/>
          <w:sz w:val="20"/>
          <w:szCs w:val="20"/>
          <w:lang w:val="es-ES_tradnl"/>
        </w:rPr>
      </w:pPr>
      <w:r w:rsidRPr="000640A9">
        <w:rPr>
          <w:rStyle w:val="Refdenotaalpie"/>
          <w:rFonts w:ascii="Times New Roman" w:hAnsi="Times New Roman" w:cs="Times New Roman"/>
          <w:sz w:val="20"/>
          <w:szCs w:val="20"/>
        </w:rPr>
        <w:footnoteRef/>
      </w:r>
      <w:r w:rsidRPr="000640A9">
        <w:rPr>
          <w:rFonts w:ascii="Times New Roman" w:hAnsi="Times New Roman" w:cs="Times New Roman"/>
          <w:sz w:val="20"/>
          <w:szCs w:val="20"/>
        </w:rPr>
        <w:t xml:space="preserve"> </w:t>
      </w:r>
      <w:r w:rsidRPr="000640A9">
        <w:rPr>
          <w:rFonts w:ascii="Times New Roman" w:hAnsi="Times New Roman" w:cs="Times New Roman"/>
          <w:sz w:val="20"/>
          <w:szCs w:val="20"/>
          <w:lang w:val="es-ES_tradnl"/>
        </w:rPr>
        <w:t xml:space="preserve">MOVILH. Por un Chile Diverso: Propuestas contra la discriminación, p.44 (2013). Disponible en: </w:t>
      </w:r>
    </w:p>
  </w:footnote>
  <w:footnote w:id="34">
    <w:p w14:paraId="5DEC5077" w14:textId="1E8AC3F8" w:rsidR="007975EE" w:rsidRPr="000640A9" w:rsidRDefault="007975EE">
      <w:pPr>
        <w:pStyle w:val="Textonotapie"/>
        <w:rPr>
          <w:lang w:val="es-ES_tradnl"/>
        </w:rPr>
      </w:pPr>
      <w:r w:rsidRPr="000640A9">
        <w:rPr>
          <w:rStyle w:val="Refdenotaalpie"/>
          <w:rFonts w:ascii="Times New Roman" w:hAnsi="Times New Roman" w:cs="Times New Roman"/>
          <w:sz w:val="20"/>
          <w:szCs w:val="20"/>
        </w:rPr>
        <w:footnoteRef/>
      </w:r>
      <w:r w:rsidRPr="000640A9">
        <w:rPr>
          <w:rFonts w:ascii="Times New Roman" w:hAnsi="Times New Roman" w:cs="Times New Roman"/>
          <w:sz w:val="20"/>
          <w:szCs w:val="20"/>
        </w:rPr>
        <w:t xml:space="preserve"> </w:t>
      </w:r>
      <w:r w:rsidRPr="000640A9">
        <w:rPr>
          <w:rFonts w:ascii="Times New Roman" w:hAnsi="Times New Roman" w:cs="Times New Roman"/>
          <w:sz w:val="20"/>
          <w:szCs w:val="20"/>
          <w:lang w:val="es-ES_tradnl"/>
        </w:rPr>
        <w:t>Ver, por ejemplo, el caso de Andy en la siguiente sección de este informe.</w:t>
      </w:r>
      <w:r>
        <w:rPr>
          <w:lang w:val="es-ES_tradnl"/>
        </w:rPr>
        <w:t xml:space="preserve"> </w:t>
      </w:r>
    </w:p>
  </w:footnote>
  <w:footnote w:id="35">
    <w:p w14:paraId="042C295B" w14:textId="77777777" w:rsidR="007975EE" w:rsidRPr="00A81615" w:rsidRDefault="007975EE" w:rsidP="00812ED3">
      <w:pPr>
        <w:pStyle w:val="Textonotapie"/>
        <w:rPr>
          <w:lang w:val="es-ES_tradnl"/>
        </w:rPr>
      </w:pPr>
      <w:r>
        <w:rPr>
          <w:rStyle w:val="Refdenotaalpie"/>
        </w:rPr>
        <w:footnoteRef/>
      </w:r>
      <w:r>
        <w:t xml:space="preserve"> </w:t>
      </w:r>
      <w:r w:rsidRPr="00184235">
        <w:rPr>
          <w:color w:val="000000" w:themeColor="text1"/>
          <w:sz w:val="20"/>
          <w:szCs w:val="20"/>
        </w:rPr>
        <w:t xml:space="preserve">Andrés Rivera. </w:t>
      </w:r>
      <w:r w:rsidRPr="00184235">
        <w:rPr>
          <w:i/>
          <w:color w:val="000000" w:themeColor="text1"/>
          <w:sz w:val="20"/>
          <w:szCs w:val="20"/>
        </w:rPr>
        <w:t>Chile’s Gender Identity Bill: Two years later</w:t>
      </w:r>
      <w:r w:rsidRPr="00184235">
        <w:rPr>
          <w:color w:val="000000" w:themeColor="text1"/>
          <w:sz w:val="20"/>
          <w:szCs w:val="20"/>
        </w:rPr>
        <w:t xml:space="preserve"> (08 May</w:t>
      </w:r>
      <w:r>
        <w:rPr>
          <w:color w:val="000000" w:themeColor="text1"/>
          <w:sz w:val="20"/>
          <w:szCs w:val="20"/>
        </w:rPr>
        <w:t>o</w:t>
      </w:r>
      <w:r w:rsidRPr="00184235">
        <w:rPr>
          <w:color w:val="000000" w:themeColor="text1"/>
          <w:sz w:val="20"/>
          <w:szCs w:val="20"/>
        </w:rPr>
        <w:t xml:space="preserve"> 2015) </w:t>
      </w:r>
      <w:r w:rsidRPr="00663A1A">
        <w:rPr>
          <w:color w:val="000000" w:themeColor="text1"/>
          <w:sz w:val="20"/>
          <w:szCs w:val="20"/>
          <w:lang w:val="es-ES_tradnl"/>
        </w:rPr>
        <w:t xml:space="preserve">Disponible </w:t>
      </w:r>
      <w:r>
        <w:rPr>
          <w:color w:val="000000" w:themeColor="text1"/>
          <w:sz w:val="20"/>
          <w:szCs w:val="20"/>
        </w:rPr>
        <w:t>en</w:t>
      </w:r>
      <w:r w:rsidRPr="00184235">
        <w:rPr>
          <w:color w:val="000000" w:themeColor="text1"/>
          <w:sz w:val="20"/>
          <w:szCs w:val="20"/>
        </w:rPr>
        <w:t xml:space="preserve">: </w:t>
      </w:r>
      <w:r w:rsidRPr="00D02961">
        <w:rPr>
          <w:sz w:val="20"/>
          <w:szCs w:val="20"/>
        </w:rPr>
        <w:t>http://www.movilh.cl/chilediverso/Por_un_Chile_Diverso-Propuestas_contra_la_discriminacion.pdf</w:t>
      </w:r>
    </w:p>
    <w:p w14:paraId="2D3B2E20" w14:textId="77777777" w:rsidR="007975EE" w:rsidRPr="00141B98" w:rsidRDefault="00F55956" w:rsidP="00812ED3">
      <w:pPr>
        <w:pStyle w:val="Textonotapie"/>
        <w:rPr>
          <w:lang w:val="es-ES_tradnl"/>
        </w:rPr>
      </w:pPr>
      <w:hyperlink r:id="rId3" w:history="1">
        <w:r w:rsidR="007975EE" w:rsidRPr="00184235">
          <w:rPr>
            <w:rStyle w:val="Hipervnculo"/>
            <w:color w:val="000000" w:themeColor="text1"/>
            <w:sz w:val="20"/>
            <w:szCs w:val="20"/>
          </w:rPr>
          <w:t>http://iglhrc.org/content/chile%E2%80%99s-gender-identity-bill-two-years-later</w:t>
        </w:r>
      </w:hyperlink>
      <w:r w:rsidR="007975EE" w:rsidRPr="00184235">
        <w:rPr>
          <w:color w:val="000000" w:themeColor="text1"/>
          <w:sz w:val="20"/>
          <w:szCs w:val="20"/>
        </w:rPr>
        <w:t>.</w:t>
      </w:r>
    </w:p>
  </w:footnote>
  <w:footnote w:id="36">
    <w:p w14:paraId="70CBB260" w14:textId="773CB588" w:rsidR="007975EE" w:rsidRPr="00141B98" w:rsidRDefault="007975EE" w:rsidP="00C13D15">
      <w:pPr>
        <w:pStyle w:val="Textonotapie"/>
        <w:rPr>
          <w:lang w:val="es-ES_tradnl"/>
        </w:rPr>
      </w:pPr>
      <w:r>
        <w:rPr>
          <w:rStyle w:val="Refdenotaalpie"/>
        </w:rPr>
        <w:footnoteRef/>
      </w:r>
      <w:r>
        <w:t xml:space="preserve"> </w:t>
      </w:r>
      <w:r>
        <w:rPr>
          <w:color w:val="000000" w:themeColor="text1"/>
          <w:sz w:val="20"/>
          <w:szCs w:val="20"/>
        </w:rPr>
        <w:t xml:space="preserve">Ibid. </w:t>
      </w:r>
    </w:p>
  </w:footnote>
  <w:footnote w:id="37">
    <w:p w14:paraId="145EE12A" w14:textId="28289240" w:rsidR="007975EE" w:rsidRPr="00AC72FD" w:rsidRDefault="007975EE">
      <w:pPr>
        <w:pStyle w:val="Textonotapie"/>
        <w:rPr>
          <w:rFonts w:ascii="Times New Roman" w:hAnsi="Times New Roman" w:cs="Times New Roman"/>
          <w:sz w:val="20"/>
          <w:szCs w:val="20"/>
        </w:rPr>
      </w:pPr>
      <w:r w:rsidRPr="00AC72FD">
        <w:rPr>
          <w:rStyle w:val="Refdenotaalpie"/>
          <w:rFonts w:ascii="Times New Roman" w:hAnsi="Times New Roman" w:cs="Times New Roman"/>
          <w:sz w:val="20"/>
          <w:szCs w:val="20"/>
        </w:rPr>
        <w:footnoteRef/>
      </w:r>
      <w:r>
        <w:rPr>
          <w:rFonts w:ascii="Times New Roman" w:hAnsi="Times New Roman" w:cs="Times New Roman"/>
          <w:sz w:val="20"/>
          <w:szCs w:val="20"/>
        </w:rPr>
        <w:t xml:space="preserve"> Bockti</w:t>
      </w:r>
      <w:r w:rsidRPr="00AC72FD">
        <w:rPr>
          <w:rFonts w:ascii="Times New Roman" w:hAnsi="Times New Roman" w:cs="Times New Roman"/>
          <w:sz w:val="20"/>
          <w:szCs w:val="20"/>
        </w:rPr>
        <w:t xml:space="preserve">ng, Walter and Joanne Keatley (2013) </w:t>
      </w:r>
      <w:r w:rsidRPr="00024FFF">
        <w:rPr>
          <w:rFonts w:ascii="Times New Roman" w:hAnsi="Times New Roman" w:cs="Times New Roman"/>
          <w:i/>
          <w:sz w:val="20"/>
          <w:szCs w:val="20"/>
          <w:lang w:val="es-ES_tradnl"/>
        </w:rPr>
        <w:t xml:space="preserve">Por la Salud de las Personas Trans. Elementos para el desarrollo de la atención integral e personas trans y sus comunidades en Latinoamérica y el Caribe, </w:t>
      </w:r>
      <w:r w:rsidRPr="00024FFF">
        <w:rPr>
          <w:rFonts w:ascii="Times New Roman" w:hAnsi="Times New Roman" w:cs="Times New Roman"/>
          <w:sz w:val="20"/>
          <w:szCs w:val="20"/>
          <w:lang w:val="es-ES_tradnl"/>
        </w:rPr>
        <w:t>p. 51</w:t>
      </w:r>
      <w:r w:rsidRPr="00AC72FD">
        <w:rPr>
          <w:rFonts w:ascii="Times New Roman" w:hAnsi="Times New Roman" w:cs="Times New Roman"/>
          <w:sz w:val="20"/>
          <w:szCs w:val="20"/>
        </w:rPr>
        <w:t xml:space="preserve"> Available at: http://176.32.230.27/worldsexology.org/wp-content/uploads/2013/08/por-la-salud-de-las-personas-trans.pdf</w:t>
      </w:r>
    </w:p>
  </w:footnote>
  <w:footnote w:id="38">
    <w:p w14:paraId="1B7175F4" w14:textId="53A70877" w:rsidR="007975EE" w:rsidRPr="00AC72FD" w:rsidRDefault="007975EE">
      <w:pPr>
        <w:pStyle w:val="Textonotapie"/>
        <w:rPr>
          <w:rFonts w:ascii="Times New Roman" w:hAnsi="Times New Roman" w:cs="Times New Roman"/>
          <w:sz w:val="20"/>
          <w:szCs w:val="20"/>
          <w:lang w:val="es-ES_tradnl"/>
        </w:rPr>
      </w:pPr>
      <w:r w:rsidRPr="00AC72FD">
        <w:rPr>
          <w:rStyle w:val="Refdenotaalpie"/>
          <w:rFonts w:ascii="Times New Roman" w:hAnsi="Times New Roman" w:cs="Times New Roman"/>
          <w:sz w:val="20"/>
          <w:szCs w:val="20"/>
        </w:rPr>
        <w:footnoteRef/>
      </w:r>
      <w:r w:rsidRPr="00AC72FD">
        <w:rPr>
          <w:rFonts w:ascii="Times New Roman" w:hAnsi="Times New Roman" w:cs="Times New Roman"/>
          <w:sz w:val="20"/>
          <w:szCs w:val="20"/>
        </w:rPr>
        <w:t xml:space="preserve"> </w:t>
      </w:r>
      <w:r w:rsidRPr="00AC72FD">
        <w:rPr>
          <w:rFonts w:ascii="Times New Roman" w:hAnsi="Times New Roman" w:cs="Times New Roman"/>
          <w:i/>
          <w:sz w:val="20"/>
          <w:szCs w:val="20"/>
        </w:rPr>
        <w:t>Ibid.</w:t>
      </w:r>
      <w:r w:rsidRPr="00AC72FD">
        <w:rPr>
          <w:rFonts w:ascii="Times New Roman" w:hAnsi="Times New Roman" w:cs="Times New Roman"/>
          <w:sz w:val="20"/>
          <w:szCs w:val="20"/>
        </w:rPr>
        <w:t xml:space="preserve"> </w:t>
      </w:r>
    </w:p>
  </w:footnote>
  <w:footnote w:id="39">
    <w:p w14:paraId="1BCD1159" w14:textId="20C22BA3" w:rsidR="007975EE" w:rsidRPr="00AC72FD" w:rsidRDefault="007975EE" w:rsidP="00141B98">
      <w:pPr>
        <w:pStyle w:val="Textonotapie"/>
        <w:rPr>
          <w:rFonts w:ascii="Times New Roman" w:hAnsi="Times New Roman" w:cs="Times New Roman"/>
          <w:sz w:val="20"/>
          <w:szCs w:val="20"/>
          <w:lang w:val="es-ES_tradnl"/>
        </w:rPr>
      </w:pPr>
      <w:r w:rsidRPr="00AC72FD">
        <w:rPr>
          <w:rStyle w:val="Refdenotaalpie"/>
          <w:rFonts w:ascii="Times New Roman" w:hAnsi="Times New Roman" w:cs="Times New Roman"/>
          <w:sz w:val="20"/>
          <w:szCs w:val="20"/>
        </w:rPr>
        <w:footnoteRef/>
      </w:r>
      <w:r w:rsidRPr="00AC72FD">
        <w:rPr>
          <w:rFonts w:ascii="Times New Roman" w:hAnsi="Times New Roman" w:cs="Times New Roman"/>
          <w:sz w:val="20"/>
          <w:szCs w:val="20"/>
        </w:rPr>
        <w:t xml:space="preserve"> </w:t>
      </w:r>
      <w:r w:rsidRPr="00AC72FD">
        <w:rPr>
          <w:rFonts w:ascii="Times New Roman" w:hAnsi="Times New Roman" w:cs="Times New Roman"/>
          <w:color w:val="1A1A1A"/>
          <w:sz w:val="20"/>
          <w:szCs w:val="20"/>
          <w:lang w:eastAsia="en-US"/>
        </w:rPr>
        <w:t xml:space="preserve">UNICEF. </w:t>
      </w:r>
      <w:r w:rsidRPr="00AC72FD">
        <w:rPr>
          <w:rFonts w:ascii="Times New Roman" w:hAnsi="Times New Roman" w:cs="Times New Roman"/>
          <w:i/>
          <w:color w:val="1A1A1A"/>
          <w:sz w:val="20"/>
          <w:szCs w:val="20"/>
          <w:lang w:eastAsia="en-US"/>
        </w:rPr>
        <w:t>Eliminating discrimination against children and parents based on sexual orientation and/or gender identity</w:t>
      </w:r>
      <w:r w:rsidRPr="00AC72FD">
        <w:rPr>
          <w:rFonts w:ascii="Times New Roman" w:hAnsi="Times New Roman" w:cs="Times New Roman"/>
          <w:color w:val="1A1A1A"/>
          <w:sz w:val="20"/>
          <w:szCs w:val="20"/>
          <w:lang w:eastAsia="en-US"/>
        </w:rPr>
        <w:t xml:space="preserve">. Current Issues, No. 9 (Noviembre 2014), p 3. Disponible en: </w:t>
      </w:r>
      <w:hyperlink r:id="rId4" w:history="1">
        <w:r w:rsidRPr="00AC72FD">
          <w:rPr>
            <w:rFonts w:ascii="Times New Roman" w:hAnsi="Times New Roman" w:cs="Times New Roman"/>
            <w:sz w:val="20"/>
            <w:szCs w:val="20"/>
            <w:lang w:eastAsia="en-US"/>
          </w:rPr>
          <w:t>http://www.unicef.org/esaro/Current_Issues_Paper-_Sexual_Identification_Gender_Identity.pdf</w:t>
        </w:r>
      </w:hyperlink>
    </w:p>
    <w:p w14:paraId="54CD85E0" w14:textId="6B1D333E" w:rsidR="007975EE" w:rsidRPr="00141B98" w:rsidRDefault="007975EE">
      <w:pPr>
        <w:pStyle w:val="Textonotapie"/>
        <w:rPr>
          <w:lang w:val="es-ES_tradnl"/>
        </w:rPr>
      </w:pPr>
    </w:p>
  </w:footnote>
  <w:footnote w:id="40">
    <w:p w14:paraId="54CC65C3" w14:textId="7CA2F020" w:rsidR="007975EE" w:rsidRPr="00AC72FD" w:rsidRDefault="007975EE">
      <w:pPr>
        <w:pStyle w:val="Textonotapie"/>
        <w:rPr>
          <w:rFonts w:ascii="Times New Roman" w:hAnsi="Times New Roman" w:cs="Times New Roman"/>
          <w:sz w:val="20"/>
          <w:szCs w:val="20"/>
          <w:lang w:val="es-ES_tradnl"/>
        </w:rPr>
      </w:pPr>
      <w:r w:rsidRPr="00AC72FD">
        <w:rPr>
          <w:rStyle w:val="Refdenotaalpie"/>
          <w:rFonts w:ascii="Times New Roman" w:hAnsi="Times New Roman" w:cs="Times New Roman"/>
          <w:sz w:val="20"/>
          <w:szCs w:val="20"/>
        </w:rPr>
        <w:footnoteRef/>
      </w:r>
      <w:r w:rsidRPr="00AC72FD">
        <w:rPr>
          <w:rFonts w:ascii="Times New Roman" w:hAnsi="Times New Roman" w:cs="Times New Roman"/>
          <w:sz w:val="20"/>
          <w:szCs w:val="20"/>
        </w:rPr>
        <w:t xml:space="preserve"> </w:t>
      </w:r>
      <w:r w:rsidRPr="00AC72FD">
        <w:rPr>
          <w:rFonts w:ascii="Times New Roman" w:hAnsi="Times New Roman" w:cs="Times New Roman"/>
          <w:sz w:val="20"/>
          <w:szCs w:val="20"/>
          <w:lang w:val="es-ES_tradnl"/>
        </w:rPr>
        <w:t xml:space="preserve">Convención sobre los Derechos del Niño. Preámbulo. </w:t>
      </w:r>
    </w:p>
  </w:footnote>
  <w:footnote w:id="41">
    <w:p w14:paraId="2093BC71" w14:textId="77777777" w:rsidR="007975EE" w:rsidRPr="00AC72FD" w:rsidRDefault="007975EE" w:rsidP="00AC72FD">
      <w:pPr>
        <w:pStyle w:val="Textonotapie"/>
        <w:jc w:val="both"/>
        <w:rPr>
          <w:rFonts w:ascii="Times New Roman" w:hAnsi="Times New Roman" w:cs="Times New Roman"/>
          <w:sz w:val="20"/>
          <w:szCs w:val="20"/>
          <w:lang w:val="es-ES_tradnl"/>
        </w:rPr>
      </w:pPr>
      <w:r w:rsidRPr="00AC72FD">
        <w:rPr>
          <w:rStyle w:val="Refdenotaalpie"/>
          <w:rFonts w:ascii="Times New Roman" w:hAnsi="Times New Roman" w:cs="Times New Roman"/>
          <w:sz w:val="20"/>
          <w:szCs w:val="20"/>
        </w:rPr>
        <w:footnoteRef/>
      </w:r>
      <w:r w:rsidRPr="00AC72FD">
        <w:rPr>
          <w:rFonts w:ascii="Times New Roman" w:hAnsi="Times New Roman" w:cs="Times New Roman"/>
          <w:sz w:val="20"/>
          <w:szCs w:val="20"/>
        </w:rPr>
        <w:t xml:space="preserve"> UNICEF Agenda para la Niñez 2014-2017, p. 15 (2013). Disponible en: </w:t>
      </w:r>
      <w:hyperlink r:id="rId5" w:history="1">
        <w:r w:rsidRPr="00AC72FD">
          <w:rPr>
            <w:rStyle w:val="Hipervnculo"/>
            <w:rFonts w:ascii="Times New Roman" w:hAnsi="Times New Roman" w:cs="Times New Roman"/>
            <w:sz w:val="20"/>
            <w:szCs w:val="20"/>
          </w:rPr>
          <w:t>http://www.unicef.cl/web/wp-content/uploads/doc_wp/Agenda%202014%202017.pdf</w:t>
        </w:r>
      </w:hyperlink>
      <w:r w:rsidRPr="00AC72FD">
        <w:rPr>
          <w:rFonts w:ascii="Times New Roman" w:hAnsi="Times New Roman" w:cs="Times New Roman"/>
          <w:sz w:val="20"/>
          <w:szCs w:val="20"/>
        </w:rPr>
        <w:t xml:space="preserve">. </w:t>
      </w:r>
      <w:r w:rsidRPr="00AC72FD">
        <w:rPr>
          <w:rFonts w:ascii="Times New Roman" w:eastAsia="Times New Roman" w:hAnsi="Times New Roman" w:cs="Times New Roman"/>
          <w:sz w:val="20"/>
          <w:szCs w:val="20"/>
          <w:lang w:val="es-ES_tradnl"/>
        </w:rPr>
        <w:t xml:space="preserve">Según el Fondo de las Naciones Unidas para la Infancia (UNICEF), para el final del año 2013, 3,445 NNA habían sido ubicados en </w:t>
      </w:r>
      <w:r w:rsidRPr="00AC72FD">
        <w:rPr>
          <w:rFonts w:ascii="Times New Roman" w:eastAsia="Times New Roman" w:hAnsi="Times New Roman" w:cs="Times New Roman"/>
          <w:color w:val="3F4548"/>
          <w:sz w:val="20"/>
          <w:szCs w:val="20"/>
          <w:shd w:val="clear" w:color="auto" w:fill="FFFFFF"/>
          <w:lang w:val="es-ES_tradnl"/>
        </w:rPr>
        <w:t>familias de acogida</w:t>
      </w:r>
      <w:r w:rsidRPr="00AC72FD">
        <w:rPr>
          <w:rFonts w:ascii="Times New Roman" w:eastAsia="Times New Roman" w:hAnsi="Times New Roman" w:cs="Times New Roman"/>
          <w:color w:val="000000" w:themeColor="text1"/>
          <w:sz w:val="20"/>
          <w:szCs w:val="20"/>
          <w:shd w:val="clear" w:color="auto" w:fill="FFFFFF"/>
          <w:lang w:val="es-ES_tradnl"/>
        </w:rPr>
        <w:t>. Entre estos, 583 eran menores de 3 años. Al mismo tiempo, había 9,312 NNA en residencies, incluyendo 849 menores de 3 años. 950 NNA habían sido ubicados en c</w:t>
      </w:r>
      <w:r w:rsidRPr="00AC72FD">
        <w:rPr>
          <w:rFonts w:ascii="Times New Roman" w:eastAsia="Times New Roman" w:hAnsi="Times New Roman" w:cs="Times New Roman"/>
          <w:color w:val="3F4548"/>
          <w:sz w:val="20"/>
          <w:szCs w:val="20"/>
          <w:shd w:val="clear" w:color="auto" w:fill="FFFFFF"/>
          <w:lang w:val="es-ES_tradnl"/>
        </w:rPr>
        <w:t xml:space="preserve">entros de atención directa del SENAME, entre los cuales 13 eran menores de 3 años. Entre Enero y Diciembre de 2012, 14,677 NNA habían sido ubicados en residencias, incluyendo 1,575 menores de 3 años, y 3,675 NNA habían sido registrados en los centros de atención directa del SENAME. En el mismo período, 5,121 habían sido </w:t>
      </w:r>
      <w:r w:rsidRPr="00AC72FD">
        <w:rPr>
          <w:rFonts w:ascii="Times New Roman" w:eastAsia="Times New Roman" w:hAnsi="Times New Roman" w:cs="Times New Roman"/>
          <w:color w:val="222222"/>
          <w:sz w:val="20"/>
          <w:szCs w:val="20"/>
          <w:shd w:val="clear" w:color="auto" w:fill="FFFFFF"/>
          <w:lang w:val="es-ES_tradnl"/>
        </w:rPr>
        <w:t>acogidos por familias, incluyendo 1,575 menores de 3 años</w:t>
      </w:r>
    </w:p>
  </w:footnote>
  <w:footnote w:id="42">
    <w:p w14:paraId="1DE60BAF" w14:textId="74338A77" w:rsidR="007975EE" w:rsidRPr="00AC72FD" w:rsidRDefault="007975EE" w:rsidP="00AC72FD">
      <w:pPr>
        <w:pStyle w:val="Textonotapie"/>
        <w:jc w:val="both"/>
        <w:rPr>
          <w:rFonts w:ascii="Times New Roman" w:hAnsi="Times New Roman" w:cs="Times New Roman"/>
          <w:sz w:val="20"/>
          <w:szCs w:val="20"/>
          <w:lang w:val="es-ES_tradnl"/>
        </w:rPr>
      </w:pPr>
      <w:r w:rsidRPr="00AC72FD">
        <w:rPr>
          <w:rStyle w:val="Refdenotaalpie"/>
          <w:rFonts w:ascii="Times New Roman" w:hAnsi="Times New Roman" w:cs="Times New Roman"/>
          <w:sz w:val="20"/>
          <w:szCs w:val="20"/>
        </w:rPr>
        <w:footnoteRef/>
      </w:r>
      <w:r w:rsidRPr="00AC72FD">
        <w:rPr>
          <w:rFonts w:ascii="Times New Roman" w:hAnsi="Times New Roman" w:cs="Times New Roman"/>
          <w:sz w:val="20"/>
          <w:szCs w:val="20"/>
        </w:rPr>
        <w:t xml:space="preserve"> </w:t>
      </w:r>
      <w:r w:rsidRPr="006F066F">
        <w:rPr>
          <w:rFonts w:ascii="Times New Roman" w:hAnsi="Times New Roman" w:cs="Times New Roman"/>
          <w:sz w:val="20"/>
          <w:szCs w:val="20"/>
          <w:lang w:val="es-ES_tradnl"/>
        </w:rPr>
        <w:t>Entrevista con Karen Atala, Directora de la Fundación Iguales, Chile via skype (Junio 29, 2015)</w:t>
      </w:r>
    </w:p>
  </w:footnote>
  <w:footnote w:id="43">
    <w:p w14:paraId="687D7003" w14:textId="77777777" w:rsidR="007975EE" w:rsidRPr="00AC72FD" w:rsidRDefault="007975EE" w:rsidP="00AC72FD">
      <w:pPr>
        <w:jc w:val="both"/>
        <w:rPr>
          <w:rFonts w:ascii="Times New Roman" w:eastAsia="Times New Roman" w:hAnsi="Times New Roman" w:cs="Times New Roman"/>
          <w:sz w:val="20"/>
          <w:szCs w:val="20"/>
        </w:rPr>
      </w:pPr>
      <w:r w:rsidRPr="00AC72FD">
        <w:rPr>
          <w:rStyle w:val="Refdenotaalpie"/>
          <w:rFonts w:ascii="Times New Roman" w:hAnsi="Times New Roman" w:cs="Times New Roman"/>
          <w:sz w:val="20"/>
          <w:szCs w:val="20"/>
        </w:rPr>
        <w:footnoteRef/>
      </w:r>
      <w:r w:rsidRPr="00AC72FD">
        <w:rPr>
          <w:rFonts w:ascii="Times New Roman" w:hAnsi="Times New Roman" w:cs="Times New Roman"/>
          <w:sz w:val="20"/>
          <w:szCs w:val="20"/>
        </w:rPr>
        <w:t xml:space="preserve"> </w:t>
      </w:r>
      <w:r w:rsidRPr="009B0311">
        <w:rPr>
          <w:rFonts w:ascii="Times New Roman" w:hAnsi="Times New Roman" w:cs="Times New Roman"/>
          <w:sz w:val="20"/>
          <w:szCs w:val="20"/>
          <w:lang w:val="es-ES_tradnl"/>
        </w:rPr>
        <w:t>Ver por ejemplo</w:t>
      </w:r>
      <w:r w:rsidRPr="00AC72FD">
        <w:rPr>
          <w:rFonts w:ascii="Times New Roman" w:hAnsi="Times New Roman" w:cs="Times New Roman"/>
          <w:sz w:val="20"/>
          <w:szCs w:val="20"/>
        </w:rPr>
        <w:t xml:space="preserve">: Committee on the Rights of the Child, </w:t>
      </w:r>
      <w:r w:rsidRPr="00AC72FD">
        <w:rPr>
          <w:rFonts w:ascii="Times New Roman" w:hAnsi="Times New Roman" w:cs="Times New Roman"/>
          <w:i/>
          <w:sz w:val="20"/>
          <w:szCs w:val="20"/>
        </w:rPr>
        <w:t>Concluding Observations: Uzbekistan</w:t>
      </w:r>
      <w:r w:rsidRPr="00AC72FD">
        <w:rPr>
          <w:rFonts w:ascii="Times New Roman" w:hAnsi="Times New Roman" w:cs="Times New Roman"/>
          <w:sz w:val="20"/>
          <w:szCs w:val="20"/>
        </w:rPr>
        <w:t xml:space="preserve"> U.N. Doc. </w:t>
      </w:r>
      <w:r w:rsidRPr="00AC72FD">
        <w:rPr>
          <w:rFonts w:ascii="Times New Roman" w:eastAsia="Times New Roman" w:hAnsi="Times New Roman" w:cs="Times New Roman"/>
          <w:sz w:val="20"/>
          <w:szCs w:val="20"/>
        </w:rPr>
        <w:t xml:space="preserve">CRC/C/15/Add.167 </w:t>
      </w:r>
      <w:r w:rsidRPr="00AC72FD">
        <w:rPr>
          <w:rFonts w:ascii="Times New Roman" w:hAnsi="Times New Roman" w:cs="Times New Roman"/>
          <w:sz w:val="20"/>
          <w:szCs w:val="20"/>
        </w:rPr>
        <w:t xml:space="preserve">¶ 35, (2001); Committee on the Rights of the Child, </w:t>
      </w:r>
      <w:r w:rsidRPr="00AC72FD">
        <w:rPr>
          <w:rFonts w:ascii="Times New Roman" w:hAnsi="Times New Roman" w:cs="Times New Roman"/>
          <w:i/>
          <w:sz w:val="20"/>
          <w:szCs w:val="20"/>
        </w:rPr>
        <w:t>Concluding Observations: Saudi Arabia</w:t>
      </w:r>
      <w:r w:rsidRPr="00AC72FD">
        <w:rPr>
          <w:rFonts w:ascii="Times New Roman" w:hAnsi="Times New Roman" w:cs="Times New Roman"/>
          <w:sz w:val="20"/>
          <w:szCs w:val="20"/>
        </w:rPr>
        <w:t xml:space="preserve"> U.N. Doc. </w:t>
      </w:r>
      <w:r w:rsidRPr="00AC72FD">
        <w:rPr>
          <w:rFonts w:ascii="Times New Roman" w:eastAsia="Times New Roman" w:hAnsi="Times New Roman" w:cs="Times New Roman"/>
          <w:sz w:val="20"/>
          <w:szCs w:val="20"/>
        </w:rPr>
        <w:t xml:space="preserve">CRC/C/15/Add.148 </w:t>
      </w:r>
      <w:r w:rsidRPr="00AC72FD">
        <w:rPr>
          <w:rFonts w:ascii="Times New Roman" w:hAnsi="Times New Roman" w:cs="Times New Roman"/>
          <w:sz w:val="20"/>
          <w:szCs w:val="20"/>
        </w:rPr>
        <w:t>¶ 31, (2001)</w:t>
      </w:r>
    </w:p>
    <w:p w14:paraId="096A783C" w14:textId="6492A2D3" w:rsidR="007975EE" w:rsidRPr="00754B9B" w:rsidRDefault="007975EE">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A87"/>
    <w:multiLevelType w:val="hybridMultilevel"/>
    <w:tmpl w:val="943AEEC8"/>
    <w:lvl w:ilvl="0" w:tplc="F3362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7FE4"/>
    <w:multiLevelType w:val="hybridMultilevel"/>
    <w:tmpl w:val="D71C0A74"/>
    <w:lvl w:ilvl="0" w:tplc="B4C6C554">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6578B2"/>
    <w:multiLevelType w:val="hybridMultilevel"/>
    <w:tmpl w:val="6EA8A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137B20"/>
    <w:multiLevelType w:val="hybridMultilevel"/>
    <w:tmpl w:val="A590E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828F6"/>
    <w:multiLevelType w:val="hybridMultilevel"/>
    <w:tmpl w:val="350C8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760636"/>
    <w:multiLevelType w:val="hybridMultilevel"/>
    <w:tmpl w:val="1B502896"/>
    <w:lvl w:ilvl="0" w:tplc="E69479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1F67CB"/>
    <w:multiLevelType w:val="hybridMultilevel"/>
    <w:tmpl w:val="1B502896"/>
    <w:lvl w:ilvl="0" w:tplc="E69479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0465AC"/>
    <w:multiLevelType w:val="hybridMultilevel"/>
    <w:tmpl w:val="350C8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8A95931"/>
    <w:multiLevelType w:val="hybridMultilevel"/>
    <w:tmpl w:val="924E3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19220A"/>
    <w:multiLevelType w:val="hybridMultilevel"/>
    <w:tmpl w:val="1B502896"/>
    <w:lvl w:ilvl="0" w:tplc="E69479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8B1294"/>
    <w:multiLevelType w:val="hybridMultilevel"/>
    <w:tmpl w:val="350C8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15290D"/>
    <w:multiLevelType w:val="hybridMultilevel"/>
    <w:tmpl w:val="350C8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0"/>
  </w:num>
  <w:num w:numId="5">
    <w:abstractNumId w:val="6"/>
  </w:num>
  <w:num w:numId="6">
    <w:abstractNumId w:val="9"/>
  </w:num>
  <w:num w:numId="7">
    <w:abstractNumId w:val="11"/>
  </w:num>
  <w:num w:numId="8">
    <w:abstractNumId w:val="8"/>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EF"/>
    <w:rsid w:val="000051F3"/>
    <w:rsid w:val="00005F87"/>
    <w:rsid w:val="000243A2"/>
    <w:rsid w:val="00024FFF"/>
    <w:rsid w:val="00026345"/>
    <w:rsid w:val="0004178B"/>
    <w:rsid w:val="000425E1"/>
    <w:rsid w:val="00054B81"/>
    <w:rsid w:val="00063495"/>
    <w:rsid w:val="000640A9"/>
    <w:rsid w:val="000703D8"/>
    <w:rsid w:val="00070DB0"/>
    <w:rsid w:val="000911EB"/>
    <w:rsid w:val="000B02E0"/>
    <w:rsid w:val="000B12B1"/>
    <w:rsid w:val="000B18D8"/>
    <w:rsid w:val="000B5C68"/>
    <w:rsid w:val="000D42A8"/>
    <w:rsid w:val="001025C7"/>
    <w:rsid w:val="001100BA"/>
    <w:rsid w:val="00116E6D"/>
    <w:rsid w:val="00141B98"/>
    <w:rsid w:val="0015741E"/>
    <w:rsid w:val="001772DC"/>
    <w:rsid w:val="001A13E6"/>
    <w:rsid w:val="001A7DEF"/>
    <w:rsid w:val="001E619A"/>
    <w:rsid w:val="001E7226"/>
    <w:rsid w:val="002039B3"/>
    <w:rsid w:val="0020424D"/>
    <w:rsid w:val="0022296B"/>
    <w:rsid w:val="00232EF6"/>
    <w:rsid w:val="0026032B"/>
    <w:rsid w:val="00260DCB"/>
    <w:rsid w:val="002827F1"/>
    <w:rsid w:val="00282D2D"/>
    <w:rsid w:val="00292579"/>
    <w:rsid w:val="002955E4"/>
    <w:rsid w:val="00297BE3"/>
    <w:rsid w:val="002B0440"/>
    <w:rsid w:val="002E62D1"/>
    <w:rsid w:val="002F243C"/>
    <w:rsid w:val="002F2F30"/>
    <w:rsid w:val="002F5862"/>
    <w:rsid w:val="00300833"/>
    <w:rsid w:val="00300CF1"/>
    <w:rsid w:val="0031120F"/>
    <w:rsid w:val="0031205C"/>
    <w:rsid w:val="00321192"/>
    <w:rsid w:val="00335A59"/>
    <w:rsid w:val="00335EE2"/>
    <w:rsid w:val="00363222"/>
    <w:rsid w:val="00374EA4"/>
    <w:rsid w:val="003865BF"/>
    <w:rsid w:val="003A1751"/>
    <w:rsid w:val="003E7E31"/>
    <w:rsid w:val="00403E96"/>
    <w:rsid w:val="004320F6"/>
    <w:rsid w:val="0043781E"/>
    <w:rsid w:val="00440CC9"/>
    <w:rsid w:val="004468EA"/>
    <w:rsid w:val="00447BED"/>
    <w:rsid w:val="00451E2D"/>
    <w:rsid w:val="00451E59"/>
    <w:rsid w:val="004615CD"/>
    <w:rsid w:val="00464BFB"/>
    <w:rsid w:val="00484C8F"/>
    <w:rsid w:val="004915F7"/>
    <w:rsid w:val="004A78EC"/>
    <w:rsid w:val="004C5313"/>
    <w:rsid w:val="004E195B"/>
    <w:rsid w:val="004E50BF"/>
    <w:rsid w:val="0052028E"/>
    <w:rsid w:val="005244E0"/>
    <w:rsid w:val="00550803"/>
    <w:rsid w:val="005526C5"/>
    <w:rsid w:val="005815E7"/>
    <w:rsid w:val="00593BE3"/>
    <w:rsid w:val="00593D50"/>
    <w:rsid w:val="00593DA5"/>
    <w:rsid w:val="005A24C8"/>
    <w:rsid w:val="005D096F"/>
    <w:rsid w:val="005E6042"/>
    <w:rsid w:val="005E66F5"/>
    <w:rsid w:val="005E7095"/>
    <w:rsid w:val="00611265"/>
    <w:rsid w:val="0064156C"/>
    <w:rsid w:val="00663A1A"/>
    <w:rsid w:val="00663B52"/>
    <w:rsid w:val="00677C60"/>
    <w:rsid w:val="00694FEE"/>
    <w:rsid w:val="006B548C"/>
    <w:rsid w:val="006C60C7"/>
    <w:rsid w:val="006F066F"/>
    <w:rsid w:val="006F251B"/>
    <w:rsid w:val="00715849"/>
    <w:rsid w:val="0071596B"/>
    <w:rsid w:val="00723D28"/>
    <w:rsid w:val="00724AF2"/>
    <w:rsid w:val="00726F60"/>
    <w:rsid w:val="00732CAC"/>
    <w:rsid w:val="00754B9B"/>
    <w:rsid w:val="00754FA5"/>
    <w:rsid w:val="00762F7D"/>
    <w:rsid w:val="00777FF6"/>
    <w:rsid w:val="00786692"/>
    <w:rsid w:val="00786A74"/>
    <w:rsid w:val="007975EE"/>
    <w:rsid w:val="007A3AE8"/>
    <w:rsid w:val="007B36FB"/>
    <w:rsid w:val="007C4EE9"/>
    <w:rsid w:val="007D647B"/>
    <w:rsid w:val="007E7085"/>
    <w:rsid w:val="007F0327"/>
    <w:rsid w:val="007F6EFE"/>
    <w:rsid w:val="00812ED3"/>
    <w:rsid w:val="00814BD6"/>
    <w:rsid w:val="008161BE"/>
    <w:rsid w:val="00820AC0"/>
    <w:rsid w:val="00824AB7"/>
    <w:rsid w:val="00824BFC"/>
    <w:rsid w:val="00824CAF"/>
    <w:rsid w:val="0084103B"/>
    <w:rsid w:val="00852F2B"/>
    <w:rsid w:val="0087737C"/>
    <w:rsid w:val="00891034"/>
    <w:rsid w:val="00894968"/>
    <w:rsid w:val="008A50A8"/>
    <w:rsid w:val="008D1A80"/>
    <w:rsid w:val="008F07B0"/>
    <w:rsid w:val="00903550"/>
    <w:rsid w:val="00911CAF"/>
    <w:rsid w:val="00916E7C"/>
    <w:rsid w:val="009274EC"/>
    <w:rsid w:val="009402E3"/>
    <w:rsid w:val="00995BD2"/>
    <w:rsid w:val="00995FF2"/>
    <w:rsid w:val="009A4099"/>
    <w:rsid w:val="009B0311"/>
    <w:rsid w:val="009B0CF4"/>
    <w:rsid w:val="009F4529"/>
    <w:rsid w:val="009F4B36"/>
    <w:rsid w:val="00A1007C"/>
    <w:rsid w:val="00A124C5"/>
    <w:rsid w:val="00A409A5"/>
    <w:rsid w:val="00A53800"/>
    <w:rsid w:val="00A553F8"/>
    <w:rsid w:val="00A65F3C"/>
    <w:rsid w:val="00A731C6"/>
    <w:rsid w:val="00A85539"/>
    <w:rsid w:val="00A946A5"/>
    <w:rsid w:val="00AA61B9"/>
    <w:rsid w:val="00AA7BE5"/>
    <w:rsid w:val="00AA7FA8"/>
    <w:rsid w:val="00AC72FD"/>
    <w:rsid w:val="00AD2B33"/>
    <w:rsid w:val="00B05B00"/>
    <w:rsid w:val="00B132B8"/>
    <w:rsid w:val="00B23757"/>
    <w:rsid w:val="00B50ABD"/>
    <w:rsid w:val="00B56A26"/>
    <w:rsid w:val="00B61ADD"/>
    <w:rsid w:val="00B956C1"/>
    <w:rsid w:val="00BD284B"/>
    <w:rsid w:val="00BF0E2D"/>
    <w:rsid w:val="00C07E9C"/>
    <w:rsid w:val="00C13D15"/>
    <w:rsid w:val="00C234D8"/>
    <w:rsid w:val="00C35E43"/>
    <w:rsid w:val="00C42F93"/>
    <w:rsid w:val="00C519B7"/>
    <w:rsid w:val="00C62AEA"/>
    <w:rsid w:val="00C706F6"/>
    <w:rsid w:val="00C760FA"/>
    <w:rsid w:val="00C80A94"/>
    <w:rsid w:val="00C9177A"/>
    <w:rsid w:val="00CB3E33"/>
    <w:rsid w:val="00CC69CD"/>
    <w:rsid w:val="00CD2207"/>
    <w:rsid w:val="00CE5537"/>
    <w:rsid w:val="00D01E55"/>
    <w:rsid w:val="00D05D96"/>
    <w:rsid w:val="00D1407C"/>
    <w:rsid w:val="00D26428"/>
    <w:rsid w:val="00D35244"/>
    <w:rsid w:val="00D852C2"/>
    <w:rsid w:val="00D96C87"/>
    <w:rsid w:val="00DB5BD6"/>
    <w:rsid w:val="00DB6728"/>
    <w:rsid w:val="00DC5E64"/>
    <w:rsid w:val="00DE2D47"/>
    <w:rsid w:val="00DF63F5"/>
    <w:rsid w:val="00E63543"/>
    <w:rsid w:val="00E77640"/>
    <w:rsid w:val="00E914C8"/>
    <w:rsid w:val="00E944AB"/>
    <w:rsid w:val="00EA0C6F"/>
    <w:rsid w:val="00F073AE"/>
    <w:rsid w:val="00F51D88"/>
    <w:rsid w:val="00F55956"/>
    <w:rsid w:val="00F90716"/>
    <w:rsid w:val="00F9276A"/>
    <w:rsid w:val="00FA3EC8"/>
    <w:rsid w:val="00FA6EB8"/>
    <w:rsid w:val="00FB2BF6"/>
    <w:rsid w:val="00FB455E"/>
    <w:rsid w:val="00FD0567"/>
    <w:rsid w:val="00FD38D2"/>
    <w:rsid w:val="00FF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4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EF"/>
  </w:style>
  <w:style w:type="paragraph" w:styleId="Ttulo1">
    <w:name w:val="heading 1"/>
    <w:basedOn w:val="Normal"/>
    <w:next w:val="Normal"/>
    <w:link w:val="Ttulo1Car"/>
    <w:uiPriority w:val="9"/>
    <w:qFormat/>
    <w:rsid w:val="004915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4915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DEF"/>
    <w:pPr>
      <w:ind w:left="720"/>
      <w:contextualSpacing/>
    </w:pPr>
  </w:style>
  <w:style w:type="paragraph" w:styleId="Textonotapie">
    <w:name w:val="footnote text"/>
    <w:basedOn w:val="Normal"/>
    <w:link w:val="TextonotapieCar"/>
    <w:uiPriority w:val="99"/>
    <w:unhideWhenUsed/>
    <w:rsid w:val="001A7DEF"/>
  </w:style>
  <w:style w:type="character" w:customStyle="1" w:styleId="TextonotapieCar">
    <w:name w:val="Texto nota pie Car"/>
    <w:basedOn w:val="Fuentedeprrafopredeter"/>
    <w:link w:val="Textonotapie"/>
    <w:uiPriority w:val="99"/>
    <w:rsid w:val="001A7DEF"/>
  </w:style>
  <w:style w:type="character" w:styleId="Refdenotaalpie">
    <w:name w:val="footnote reference"/>
    <w:basedOn w:val="Fuentedeprrafopredeter"/>
    <w:uiPriority w:val="99"/>
    <w:unhideWhenUsed/>
    <w:rsid w:val="001A7DEF"/>
    <w:rPr>
      <w:vertAlign w:val="superscript"/>
    </w:rPr>
  </w:style>
  <w:style w:type="paragraph" w:styleId="NormalWeb">
    <w:name w:val="Normal (Web)"/>
    <w:basedOn w:val="Normal"/>
    <w:uiPriority w:val="99"/>
    <w:unhideWhenUsed/>
    <w:rsid w:val="001A7DEF"/>
    <w:pPr>
      <w:spacing w:before="100" w:beforeAutospacing="1" w:after="100" w:afterAutospacing="1"/>
    </w:pPr>
    <w:rPr>
      <w:rFonts w:ascii="Times" w:hAnsi="Times" w:cs="Times New Roman"/>
      <w:sz w:val="20"/>
      <w:szCs w:val="20"/>
    </w:rPr>
  </w:style>
  <w:style w:type="paragraph" w:customStyle="1" w:styleId="Default">
    <w:name w:val="Default"/>
    <w:rsid w:val="0064156C"/>
    <w:pPr>
      <w:widowControl w:val="0"/>
      <w:autoSpaceDE w:val="0"/>
      <w:autoSpaceDN w:val="0"/>
      <w:adjustRightInd w:val="0"/>
    </w:pPr>
    <w:rPr>
      <w:rFonts w:ascii="Times New Roman" w:hAnsi="Times New Roman" w:cs="Times New Roman"/>
      <w:color w:val="000000"/>
      <w:lang w:val="es-ES"/>
    </w:rPr>
  </w:style>
  <w:style w:type="character" w:styleId="Hipervnculo">
    <w:name w:val="Hyperlink"/>
    <w:basedOn w:val="Fuentedeprrafopredeter"/>
    <w:uiPriority w:val="99"/>
    <w:unhideWhenUsed/>
    <w:rsid w:val="00916E7C"/>
    <w:rPr>
      <w:color w:val="0000FF" w:themeColor="hyperlink"/>
      <w:u w:val="single"/>
    </w:rPr>
  </w:style>
  <w:style w:type="paragraph" w:styleId="Piedepgina">
    <w:name w:val="footer"/>
    <w:basedOn w:val="Normal"/>
    <w:link w:val="PiedepginaCar"/>
    <w:uiPriority w:val="99"/>
    <w:unhideWhenUsed/>
    <w:rsid w:val="00F90716"/>
    <w:pPr>
      <w:tabs>
        <w:tab w:val="center" w:pos="4252"/>
        <w:tab w:val="right" w:pos="8504"/>
      </w:tabs>
    </w:pPr>
  </w:style>
  <w:style w:type="character" w:customStyle="1" w:styleId="PiedepginaCar">
    <w:name w:val="Pie de página Car"/>
    <w:basedOn w:val="Fuentedeprrafopredeter"/>
    <w:link w:val="Piedepgina"/>
    <w:uiPriority w:val="99"/>
    <w:rsid w:val="00F90716"/>
  </w:style>
  <w:style w:type="character" w:styleId="Nmerodepgina">
    <w:name w:val="page number"/>
    <w:basedOn w:val="Fuentedeprrafopredeter"/>
    <w:uiPriority w:val="99"/>
    <w:semiHidden/>
    <w:unhideWhenUsed/>
    <w:rsid w:val="00F90716"/>
  </w:style>
  <w:style w:type="character" w:styleId="Refdecomentario">
    <w:name w:val="annotation reference"/>
    <w:basedOn w:val="Fuentedeprrafopredeter"/>
    <w:uiPriority w:val="99"/>
    <w:semiHidden/>
    <w:unhideWhenUsed/>
    <w:rsid w:val="00464BFB"/>
    <w:rPr>
      <w:sz w:val="18"/>
      <w:szCs w:val="18"/>
    </w:rPr>
  </w:style>
  <w:style w:type="paragraph" w:styleId="Textocomentario">
    <w:name w:val="annotation text"/>
    <w:basedOn w:val="Normal"/>
    <w:link w:val="TextocomentarioCar"/>
    <w:uiPriority w:val="99"/>
    <w:semiHidden/>
    <w:unhideWhenUsed/>
    <w:rsid w:val="00464BFB"/>
  </w:style>
  <w:style w:type="character" w:customStyle="1" w:styleId="TextocomentarioCar">
    <w:name w:val="Texto comentario Car"/>
    <w:basedOn w:val="Fuentedeprrafopredeter"/>
    <w:link w:val="Textocomentario"/>
    <w:uiPriority w:val="99"/>
    <w:semiHidden/>
    <w:rsid w:val="00464BFB"/>
  </w:style>
  <w:style w:type="paragraph" w:styleId="Asuntodelcomentario">
    <w:name w:val="annotation subject"/>
    <w:basedOn w:val="Textocomentario"/>
    <w:next w:val="Textocomentario"/>
    <w:link w:val="AsuntodelcomentarioCar"/>
    <w:uiPriority w:val="99"/>
    <w:semiHidden/>
    <w:unhideWhenUsed/>
    <w:rsid w:val="00464BFB"/>
    <w:rPr>
      <w:b/>
      <w:bCs/>
      <w:sz w:val="20"/>
      <w:szCs w:val="20"/>
    </w:rPr>
  </w:style>
  <w:style w:type="character" w:customStyle="1" w:styleId="AsuntodelcomentarioCar">
    <w:name w:val="Asunto del comentario Car"/>
    <w:basedOn w:val="TextocomentarioCar"/>
    <w:link w:val="Asuntodelcomentario"/>
    <w:uiPriority w:val="99"/>
    <w:semiHidden/>
    <w:rsid w:val="00464BFB"/>
    <w:rPr>
      <w:b/>
      <w:bCs/>
      <w:sz w:val="20"/>
      <w:szCs w:val="20"/>
    </w:rPr>
  </w:style>
  <w:style w:type="paragraph" w:styleId="Textodeglobo">
    <w:name w:val="Balloon Text"/>
    <w:basedOn w:val="Normal"/>
    <w:link w:val="TextodegloboCar"/>
    <w:uiPriority w:val="99"/>
    <w:semiHidden/>
    <w:unhideWhenUsed/>
    <w:rsid w:val="00464B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4BFB"/>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DE2D47"/>
    <w:rPr>
      <w:color w:val="800080" w:themeColor="followedHyperlink"/>
      <w:u w:val="single"/>
    </w:rPr>
  </w:style>
  <w:style w:type="character" w:customStyle="1" w:styleId="Ttulo1Car">
    <w:name w:val="Título 1 Car"/>
    <w:basedOn w:val="Fuentedeprrafopredeter"/>
    <w:link w:val="Ttulo1"/>
    <w:uiPriority w:val="9"/>
    <w:rsid w:val="004915F7"/>
    <w:rPr>
      <w:rFonts w:asciiTheme="majorHAnsi" w:eastAsiaTheme="majorEastAsia" w:hAnsiTheme="majorHAnsi" w:cstheme="majorBidi"/>
      <w:b/>
      <w:bCs/>
      <w:color w:val="345A8A" w:themeColor="accent1" w:themeShade="B5"/>
      <w:sz w:val="32"/>
      <w:szCs w:val="32"/>
    </w:rPr>
  </w:style>
  <w:style w:type="paragraph" w:styleId="TDC1">
    <w:name w:val="toc 1"/>
    <w:basedOn w:val="Normal"/>
    <w:next w:val="Normal"/>
    <w:autoRedefine/>
    <w:uiPriority w:val="39"/>
    <w:unhideWhenUsed/>
    <w:rsid w:val="007D647B"/>
    <w:pPr>
      <w:tabs>
        <w:tab w:val="right" w:leader="dot" w:pos="8828"/>
      </w:tabs>
      <w:spacing w:before="120"/>
      <w:jc w:val="center"/>
    </w:pPr>
    <w:rPr>
      <w:rFonts w:ascii="Times New Roman" w:eastAsia="Times New Roman" w:hAnsi="Times New Roman" w:cs="Times New Roman"/>
      <w:b/>
      <w:caps/>
      <w:sz w:val="28"/>
      <w:szCs w:val="28"/>
    </w:rPr>
  </w:style>
  <w:style w:type="paragraph" w:styleId="TDC2">
    <w:name w:val="toc 2"/>
    <w:basedOn w:val="Normal"/>
    <w:next w:val="Normal"/>
    <w:autoRedefine/>
    <w:uiPriority w:val="39"/>
    <w:unhideWhenUsed/>
    <w:rsid w:val="004915F7"/>
    <w:pPr>
      <w:ind w:left="240"/>
    </w:pPr>
    <w:rPr>
      <w:smallCaps/>
      <w:sz w:val="22"/>
      <w:szCs w:val="22"/>
    </w:rPr>
  </w:style>
  <w:style w:type="paragraph" w:styleId="TDC3">
    <w:name w:val="toc 3"/>
    <w:basedOn w:val="Normal"/>
    <w:next w:val="Normal"/>
    <w:autoRedefine/>
    <w:uiPriority w:val="39"/>
    <w:unhideWhenUsed/>
    <w:rsid w:val="004915F7"/>
    <w:pPr>
      <w:ind w:left="480"/>
    </w:pPr>
    <w:rPr>
      <w:i/>
      <w:sz w:val="22"/>
      <w:szCs w:val="22"/>
    </w:rPr>
  </w:style>
  <w:style w:type="paragraph" w:styleId="TDC4">
    <w:name w:val="toc 4"/>
    <w:basedOn w:val="Normal"/>
    <w:next w:val="Normal"/>
    <w:autoRedefine/>
    <w:uiPriority w:val="39"/>
    <w:unhideWhenUsed/>
    <w:rsid w:val="004915F7"/>
    <w:pPr>
      <w:ind w:left="720"/>
    </w:pPr>
    <w:rPr>
      <w:sz w:val="18"/>
      <w:szCs w:val="18"/>
    </w:rPr>
  </w:style>
  <w:style w:type="paragraph" w:styleId="TDC5">
    <w:name w:val="toc 5"/>
    <w:basedOn w:val="Normal"/>
    <w:next w:val="Normal"/>
    <w:autoRedefine/>
    <w:uiPriority w:val="39"/>
    <w:unhideWhenUsed/>
    <w:rsid w:val="004915F7"/>
    <w:pPr>
      <w:ind w:left="960"/>
    </w:pPr>
    <w:rPr>
      <w:sz w:val="18"/>
      <w:szCs w:val="18"/>
    </w:rPr>
  </w:style>
  <w:style w:type="paragraph" w:styleId="TDC6">
    <w:name w:val="toc 6"/>
    <w:basedOn w:val="Normal"/>
    <w:next w:val="Normal"/>
    <w:autoRedefine/>
    <w:uiPriority w:val="39"/>
    <w:unhideWhenUsed/>
    <w:rsid w:val="004915F7"/>
    <w:pPr>
      <w:ind w:left="1200"/>
    </w:pPr>
    <w:rPr>
      <w:sz w:val="18"/>
      <w:szCs w:val="18"/>
    </w:rPr>
  </w:style>
  <w:style w:type="paragraph" w:styleId="TDC7">
    <w:name w:val="toc 7"/>
    <w:basedOn w:val="Normal"/>
    <w:next w:val="Normal"/>
    <w:autoRedefine/>
    <w:uiPriority w:val="39"/>
    <w:unhideWhenUsed/>
    <w:rsid w:val="004915F7"/>
    <w:pPr>
      <w:ind w:left="1440"/>
    </w:pPr>
    <w:rPr>
      <w:sz w:val="18"/>
      <w:szCs w:val="18"/>
    </w:rPr>
  </w:style>
  <w:style w:type="paragraph" w:styleId="TDC8">
    <w:name w:val="toc 8"/>
    <w:basedOn w:val="Normal"/>
    <w:next w:val="Normal"/>
    <w:autoRedefine/>
    <w:uiPriority w:val="39"/>
    <w:unhideWhenUsed/>
    <w:rsid w:val="004915F7"/>
    <w:pPr>
      <w:ind w:left="1680"/>
    </w:pPr>
    <w:rPr>
      <w:sz w:val="18"/>
      <w:szCs w:val="18"/>
    </w:rPr>
  </w:style>
  <w:style w:type="paragraph" w:styleId="TDC9">
    <w:name w:val="toc 9"/>
    <w:basedOn w:val="Normal"/>
    <w:next w:val="Normal"/>
    <w:autoRedefine/>
    <w:uiPriority w:val="39"/>
    <w:unhideWhenUsed/>
    <w:rsid w:val="004915F7"/>
    <w:pPr>
      <w:ind w:left="1920"/>
    </w:pPr>
    <w:rPr>
      <w:sz w:val="18"/>
      <w:szCs w:val="18"/>
    </w:rPr>
  </w:style>
  <w:style w:type="character" w:customStyle="1" w:styleId="Ttulo2Car">
    <w:name w:val="Título 2 Car"/>
    <w:basedOn w:val="Fuentedeprrafopredeter"/>
    <w:link w:val="Ttulo2"/>
    <w:uiPriority w:val="9"/>
    <w:rsid w:val="004915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EF"/>
  </w:style>
  <w:style w:type="paragraph" w:styleId="Ttulo1">
    <w:name w:val="heading 1"/>
    <w:basedOn w:val="Normal"/>
    <w:next w:val="Normal"/>
    <w:link w:val="Ttulo1Car"/>
    <w:uiPriority w:val="9"/>
    <w:qFormat/>
    <w:rsid w:val="004915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4915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7DEF"/>
    <w:pPr>
      <w:ind w:left="720"/>
      <w:contextualSpacing/>
    </w:pPr>
  </w:style>
  <w:style w:type="paragraph" w:styleId="Textonotapie">
    <w:name w:val="footnote text"/>
    <w:basedOn w:val="Normal"/>
    <w:link w:val="TextonotapieCar"/>
    <w:uiPriority w:val="99"/>
    <w:unhideWhenUsed/>
    <w:rsid w:val="001A7DEF"/>
  </w:style>
  <w:style w:type="character" w:customStyle="1" w:styleId="TextonotapieCar">
    <w:name w:val="Texto nota pie Car"/>
    <w:basedOn w:val="Fuentedeprrafopredeter"/>
    <w:link w:val="Textonotapie"/>
    <w:uiPriority w:val="99"/>
    <w:rsid w:val="001A7DEF"/>
  </w:style>
  <w:style w:type="character" w:styleId="Refdenotaalpie">
    <w:name w:val="footnote reference"/>
    <w:basedOn w:val="Fuentedeprrafopredeter"/>
    <w:uiPriority w:val="99"/>
    <w:unhideWhenUsed/>
    <w:rsid w:val="001A7DEF"/>
    <w:rPr>
      <w:vertAlign w:val="superscript"/>
    </w:rPr>
  </w:style>
  <w:style w:type="paragraph" w:styleId="NormalWeb">
    <w:name w:val="Normal (Web)"/>
    <w:basedOn w:val="Normal"/>
    <w:uiPriority w:val="99"/>
    <w:unhideWhenUsed/>
    <w:rsid w:val="001A7DEF"/>
    <w:pPr>
      <w:spacing w:before="100" w:beforeAutospacing="1" w:after="100" w:afterAutospacing="1"/>
    </w:pPr>
    <w:rPr>
      <w:rFonts w:ascii="Times" w:hAnsi="Times" w:cs="Times New Roman"/>
      <w:sz w:val="20"/>
      <w:szCs w:val="20"/>
    </w:rPr>
  </w:style>
  <w:style w:type="paragraph" w:customStyle="1" w:styleId="Default">
    <w:name w:val="Default"/>
    <w:rsid w:val="0064156C"/>
    <w:pPr>
      <w:widowControl w:val="0"/>
      <w:autoSpaceDE w:val="0"/>
      <w:autoSpaceDN w:val="0"/>
      <w:adjustRightInd w:val="0"/>
    </w:pPr>
    <w:rPr>
      <w:rFonts w:ascii="Times New Roman" w:hAnsi="Times New Roman" w:cs="Times New Roman"/>
      <w:color w:val="000000"/>
      <w:lang w:val="es-ES"/>
    </w:rPr>
  </w:style>
  <w:style w:type="character" w:styleId="Hipervnculo">
    <w:name w:val="Hyperlink"/>
    <w:basedOn w:val="Fuentedeprrafopredeter"/>
    <w:uiPriority w:val="99"/>
    <w:unhideWhenUsed/>
    <w:rsid w:val="00916E7C"/>
    <w:rPr>
      <w:color w:val="0000FF" w:themeColor="hyperlink"/>
      <w:u w:val="single"/>
    </w:rPr>
  </w:style>
  <w:style w:type="paragraph" w:styleId="Piedepgina">
    <w:name w:val="footer"/>
    <w:basedOn w:val="Normal"/>
    <w:link w:val="PiedepginaCar"/>
    <w:uiPriority w:val="99"/>
    <w:unhideWhenUsed/>
    <w:rsid w:val="00F90716"/>
    <w:pPr>
      <w:tabs>
        <w:tab w:val="center" w:pos="4252"/>
        <w:tab w:val="right" w:pos="8504"/>
      </w:tabs>
    </w:pPr>
  </w:style>
  <w:style w:type="character" w:customStyle="1" w:styleId="PiedepginaCar">
    <w:name w:val="Pie de página Car"/>
    <w:basedOn w:val="Fuentedeprrafopredeter"/>
    <w:link w:val="Piedepgina"/>
    <w:uiPriority w:val="99"/>
    <w:rsid w:val="00F90716"/>
  </w:style>
  <w:style w:type="character" w:styleId="Nmerodepgina">
    <w:name w:val="page number"/>
    <w:basedOn w:val="Fuentedeprrafopredeter"/>
    <w:uiPriority w:val="99"/>
    <w:semiHidden/>
    <w:unhideWhenUsed/>
    <w:rsid w:val="00F90716"/>
  </w:style>
  <w:style w:type="character" w:styleId="Refdecomentario">
    <w:name w:val="annotation reference"/>
    <w:basedOn w:val="Fuentedeprrafopredeter"/>
    <w:uiPriority w:val="99"/>
    <w:semiHidden/>
    <w:unhideWhenUsed/>
    <w:rsid w:val="00464BFB"/>
    <w:rPr>
      <w:sz w:val="18"/>
      <w:szCs w:val="18"/>
    </w:rPr>
  </w:style>
  <w:style w:type="paragraph" w:styleId="Textocomentario">
    <w:name w:val="annotation text"/>
    <w:basedOn w:val="Normal"/>
    <w:link w:val="TextocomentarioCar"/>
    <w:uiPriority w:val="99"/>
    <w:semiHidden/>
    <w:unhideWhenUsed/>
    <w:rsid w:val="00464BFB"/>
  </w:style>
  <w:style w:type="character" w:customStyle="1" w:styleId="TextocomentarioCar">
    <w:name w:val="Texto comentario Car"/>
    <w:basedOn w:val="Fuentedeprrafopredeter"/>
    <w:link w:val="Textocomentario"/>
    <w:uiPriority w:val="99"/>
    <w:semiHidden/>
    <w:rsid w:val="00464BFB"/>
  </w:style>
  <w:style w:type="paragraph" w:styleId="Asuntodelcomentario">
    <w:name w:val="annotation subject"/>
    <w:basedOn w:val="Textocomentario"/>
    <w:next w:val="Textocomentario"/>
    <w:link w:val="AsuntodelcomentarioCar"/>
    <w:uiPriority w:val="99"/>
    <w:semiHidden/>
    <w:unhideWhenUsed/>
    <w:rsid w:val="00464BFB"/>
    <w:rPr>
      <w:b/>
      <w:bCs/>
      <w:sz w:val="20"/>
      <w:szCs w:val="20"/>
    </w:rPr>
  </w:style>
  <w:style w:type="character" w:customStyle="1" w:styleId="AsuntodelcomentarioCar">
    <w:name w:val="Asunto del comentario Car"/>
    <w:basedOn w:val="TextocomentarioCar"/>
    <w:link w:val="Asuntodelcomentario"/>
    <w:uiPriority w:val="99"/>
    <w:semiHidden/>
    <w:rsid w:val="00464BFB"/>
    <w:rPr>
      <w:b/>
      <w:bCs/>
      <w:sz w:val="20"/>
      <w:szCs w:val="20"/>
    </w:rPr>
  </w:style>
  <w:style w:type="paragraph" w:styleId="Textodeglobo">
    <w:name w:val="Balloon Text"/>
    <w:basedOn w:val="Normal"/>
    <w:link w:val="TextodegloboCar"/>
    <w:uiPriority w:val="99"/>
    <w:semiHidden/>
    <w:unhideWhenUsed/>
    <w:rsid w:val="00464B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4BFB"/>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DE2D47"/>
    <w:rPr>
      <w:color w:val="800080" w:themeColor="followedHyperlink"/>
      <w:u w:val="single"/>
    </w:rPr>
  </w:style>
  <w:style w:type="character" w:customStyle="1" w:styleId="Ttulo1Car">
    <w:name w:val="Título 1 Car"/>
    <w:basedOn w:val="Fuentedeprrafopredeter"/>
    <w:link w:val="Ttulo1"/>
    <w:uiPriority w:val="9"/>
    <w:rsid w:val="004915F7"/>
    <w:rPr>
      <w:rFonts w:asciiTheme="majorHAnsi" w:eastAsiaTheme="majorEastAsia" w:hAnsiTheme="majorHAnsi" w:cstheme="majorBidi"/>
      <w:b/>
      <w:bCs/>
      <w:color w:val="345A8A" w:themeColor="accent1" w:themeShade="B5"/>
      <w:sz w:val="32"/>
      <w:szCs w:val="32"/>
    </w:rPr>
  </w:style>
  <w:style w:type="paragraph" w:styleId="TDC1">
    <w:name w:val="toc 1"/>
    <w:basedOn w:val="Normal"/>
    <w:next w:val="Normal"/>
    <w:autoRedefine/>
    <w:uiPriority w:val="39"/>
    <w:unhideWhenUsed/>
    <w:rsid w:val="007D647B"/>
    <w:pPr>
      <w:tabs>
        <w:tab w:val="right" w:leader="dot" w:pos="8828"/>
      </w:tabs>
      <w:spacing w:before="120"/>
      <w:jc w:val="center"/>
    </w:pPr>
    <w:rPr>
      <w:rFonts w:ascii="Times New Roman" w:eastAsia="Times New Roman" w:hAnsi="Times New Roman" w:cs="Times New Roman"/>
      <w:b/>
      <w:caps/>
      <w:sz w:val="28"/>
      <w:szCs w:val="28"/>
    </w:rPr>
  </w:style>
  <w:style w:type="paragraph" w:styleId="TDC2">
    <w:name w:val="toc 2"/>
    <w:basedOn w:val="Normal"/>
    <w:next w:val="Normal"/>
    <w:autoRedefine/>
    <w:uiPriority w:val="39"/>
    <w:unhideWhenUsed/>
    <w:rsid w:val="004915F7"/>
    <w:pPr>
      <w:ind w:left="240"/>
    </w:pPr>
    <w:rPr>
      <w:smallCaps/>
      <w:sz w:val="22"/>
      <w:szCs w:val="22"/>
    </w:rPr>
  </w:style>
  <w:style w:type="paragraph" w:styleId="TDC3">
    <w:name w:val="toc 3"/>
    <w:basedOn w:val="Normal"/>
    <w:next w:val="Normal"/>
    <w:autoRedefine/>
    <w:uiPriority w:val="39"/>
    <w:unhideWhenUsed/>
    <w:rsid w:val="004915F7"/>
    <w:pPr>
      <w:ind w:left="480"/>
    </w:pPr>
    <w:rPr>
      <w:i/>
      <w:sz w:val="22"/>
      <w:szCs w:val="22"/>
    </w:rPr>
  </w:style>
  <w:style w:type="paragraph" w:styleId="TDC4">
    <w:name w:val="toc 4"/>
    <w:basedOn w:val="Normal"/>
    <w:next w:val="Normal"/>
    <w:autoRedefine/>
    <w:uiPriority w:val="39"/>
    <w:unhideWhenUsed/>
    <w:rsid w:val="004915F7"/>
    <w:pPr>
      <w:ind w:left="720"/>
    </w:pPr>
    <w:rPr>
      <w:sz w:val="18"/>
      <w:szCs w:val="18"/>
    </w:rPr>
  </w:style>
  <w:style w:type="paragraph" w:styleId="TDC5">
    <w:name w:val="toc 5"/>
    <w:basedOn w:val="Normal"/>
    <w:next w:val="Normal"/>
    <w:autoRedefine/>
    <w:uiPriority w:val="39"/>
    <w:unhideWhenUsed/>
    <w:rsid w:val="004915F7"/>
    <w:pPr>
      <w:ind w:left="960"/>
    </w:pPr>
    <w:rPr>
      <w:sz w:val="18"/>
      <w:szCs w:val="18"/>
    </w:rPr>
  </w:style>
  <w:style w:type="paragraph" w:styleId="TDC6">
    <w:name w:val="toc 6"/>
    <w:basedOn w:val="Normal"/>
    <w:next w:val="Normal"/>
    <w:autoRedefine/>
    <w:uiPriority w:val="39"/>
    <w:unhideWhenUsed/>
    <w:rsid w:val="004915F7"/>
    <w:pPr>
      <w:ind w:left="1200"/>
    </w:pPr>
    <w:rPr>
      <w:sz w:val="18"/>
      <w:szCs w:val="18"/>
    </w:rPr>
  </w:style>
  <w:style w:type="paragraph" w:styleId="TDC7">
    <w:name w:val="toc 7"/>
    <w:basedOn w:val="Normal"/>
    <w:next w:val="Normal"/>
    <w:autoRedefine/>
    <w:uiPriority w:val="39"/>
    <w:unhideWhenUsed/>
    <w:rsid w:val="004915F7"/>
    <w:pPr>
      <w:ind w:left="1440"/>
    </w:pPr>
    <w:rPr>
      <w:sz w:val="18"/>
      <w:szCs w:val="18"/>
    </w:rPr>
  </w:style>
  <w:style w:type="paragraph" w:styleId="TDC8">
    <w:name w:val="toc 8"/>
    <w:basedOn w:val="Normal"/>
    <w:next w:val="Normal"/>
    <w:autoRedefine/>
    <w:uiPriority w:val="39"/>
    <w:unhideWhenUsed/>
    <w:rsid w:val="004915F7"/>
    <w:pPr>
      <w:ind w:left="1680"/>
    </w:pPr>
    <w:rPr>
      <w:sz w:val="18"/>
      <w:szCs w:val="18"/>
    </w:rPr>
  </w:style>
  <w:style w:type="paragraph" w:styleId="TDC9">
    <w:name w:val="toc 9"/>
    <w:basedOn w:val="Normal"/>
    <w:next w:val="Normal"/>
    <w:autoRedefine/>
    <w:uiPriority w:val="39"/>
    <w:unhideWhenUsed/>
    <w:rsid w:val="004915F7"/>
    <w:pPr>
      <w:ind w:left="1920"/>
    </w:pPr>
    <w:rPr>
      <w:sz w:val="18"/>
      <w:szCs w:val="18"/>
    </w:rPr>
  </w:style>
  <w:style w:type="character" w:customStyle="1" w:styleId="Ttulo2Car">
    <w:name w:val="Título 2 Car"/>
    <w:basedOn w:val="Fuentedeprrafopredeter"/>
    <w:link w:val="Ttulo2"/>
    <w:uiPriority w:val="9"/>
    <w:rsid w:val="004915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8701">
      <w:bodyDiv w:val="1"/>
      <w:marLeft w:val="0"/>
      <w:marRight w:val="0"/>
      <w:marTop w:val="0"/>
      <w:marBottom w:val="0"/>
      <w:divBdr>
        <w:top w:val="none" w:sz="0" w:space="0" w:color="auto"/>
        <w:left w:val="none" w:sz="0" w:space="0" w:color="auto"/>
        <w:bottom w:val="none" w:sz="0" w:space="0" w:color="auto"/>
        <w:right w:val="none" w:sz="0" w:space="0" w:color="auto"/>
      </w:divBdr>
    </w:div>
    <w:div w:id="81679765">
      <w:bodyDiv w:val="1"/>
      <w:marLeft w:val="0"/>
      <w:marRight w:val="0"/>
      <w:marTop w:val="0"/>
      <w:marBottom w:val="0"/>
      <w:divBdr>
        <w:top w:val="none" w:sz="0" w:space="0" w:color="auto"/>
        <w:left w:val="none" w:sz="0" w:space="0" w:color="auto"/>
        <w:bottom w:val="none" w:sz="0" w:space="0" w:color="auto"/>
        <w:right w:val="none" w:sz="0" w:space="0" w:color="auto"/>
      </w:divBdr>
    </w:div>
    <w:div w:id="548342862">
      <w:bodyDiv w:val="1"/>
      <w:marLeft w:val="0"/>
      <w:marRight w:val="0"/>
      <w:marTop w:val="0"/>
      <w:marBottom w:val="0"/>
      <w:divBdr>
        <w:top w:val="none" w:sz="0" w:space="0" w:color="auto"/>
        <w:left w:val="none" w:sz="0" w:space="0" w:color="auto"/>
        <w:bottom w:val="none" w:sz="0" w:space="0" w:color="auto"/>
        <w:right w:val="none" w:sz="0" w:space="0" w:color="auto"/>
      </w:divBdr>
      <w:divsChild>
        <w:div w:id="1758137195">
          <w:marLeft w:val="0"/>
          <w:marRight w:val="0"/>
          <w:marTop w:val="0"/>
          <w:marBottom w:val="0"/>
          <w:divBdr>
            <w:top w:val="none" w:sz="0" w:space="0" w:color="auto"/>
            <w:left w:val="none" w:sz="0" w:space="0" w:color="auto"/>
            <w:bottom w:val="none" w:sz="0" w:space="0" w:color="auto"/>
            <w:right w:val="none" w:sz="0" w:space="0" w:color="auto"/>
          </w:divBdr>
          <w:divsChild>
            <w:div w:id="2043439134">
              <w:marLeft w:val="0"/>
              <w:marRight w:val="0"/>
              <w:marTop w:val="0"/>
              <w:marBottom w:val="0"/>
              <w:divBdr>
                <w:top w:val="none" w:sz="0" w:space="0" w:color="auto"/>
                <w:left w:val="none" w:sz="0" w:space="0" w:color="auto"/>
                <w:bottom w:val="none" w:sz="0" w:space="0" w:color="auto"/>
                <w:right w:val="none" w:sz="0" w:space="0" w:color="auto"/>
              </w:divBdr>
              <w:divsChild>
                <w:div w:id="17069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10633">
      <w:bodyDiv w:val="1"/>
      <w:marLeft w:val="0"/>
      <w:marRight w:val="0"/>
      <w:marTop w:val="0"/>
      <w:marBottom w:val="0"/>
      <w:divBdr>
        <w:top w:val="none" w:sz="0" w:space="0" w:color="auto"/>
        <w:left w:val="none" w:sz="0" w:space="0" w:color="auto"/>
        <w:bottom w:val="none" w:sz="0" w:space="0" w:color="auto"/>
        <w:right w:val="none" w:sz="0" w:space="0" w:color="auto"/>
      </w:divBdr>
    </w:div>
    <w:div w:id="1170023139">
      <w:bodyDiv w:val="1"/>
      <w:marLeft w:val="0"/>
      <w:marRight w:val="0"/>
      <w:marTop w:val="0"/>
      <w:marBottom w:val="0"/>
      <w:divBdr>
        <w:top w:val="none" w:sz="0" w:space="0" w:color="auto"/>
        <w:left w:val="none" w:sz="0" w:space="0" w:color="auto"/>
        <w:bottom w:val="none" w:sz="0" w:space="0" w:color="auto"/>
        <w:right w:val="none" w:sz="0" w:space="0" w:color="auto"/>
      </w:divBdr>
    </w:div>
    <w:div w:id="1270115705">
      <w:bodyDiv w:val="1"/>
      <w:marLeft w:val="0"/>
      <w:marRight w:val="0"/>
      <w:marTop w:val="0"/>
      <w:marBottom w:val="0"/>
      <w:divBdr>
        <w:top w:val="none" w:sz="0" w:space="0" w:color="auto"/>
        <w:left w:val="none" w:sz="0" w:space="0" w:color="auto"/>
        <w:bottom w:val="none" w:sz="0" w:space="0" w:color="auto"/>
        <w:right w:val="none" w:sz="0" w:space="0" w:color="auto"/>
      </w:divBdr>
    </w:div>
    <w:div w:id="1784954539">
      <w:bodyDiv w:val="1"/>
      <w:marLeft w:val="0"/>
      <w:marRight w:val="0"/>
      <w:marTop w:val="0"/>
      <w:marBottom w:val="0"/>
      <w:divBdr>
        <w:top w:val="none" w:sz="0" w:space="0" w:color="auto"/>
        <w:left w:val="none" w:sz="0" w:space="0" w:color="auto"/>
        <w:bottom w:val="none" w:sz="0" w:space="0" w:color="auto"/>
        <w:right w:val="none" w:sz="0" w:space="0" w:color="auto"/>
      </w:divBdr>
    </w:div>
    <w:div w:id="1879590062">
      <w:bodyDiv w:val="1"/>
      <w:marLeft w:val="0"/>
      <w:marRight w:val="0"/>
      <w:marTop w:val="0"/>
      <w:marBottom w:val="0"/>
      <w:divBdr>
        <w:top w:val="none" w:sz="0" w:space="0" w:color="auto"/>
        <w:left w:val="none" w:sz="0" w:space="0" w:color="auto"/>
        <w:bottom w:val="none" w:sz="0" w:space="0" w:color="auto"/>
        <w:right w:val="none" w:sz="0" w:space="0" w:color="auto"/>
      </w:divBdr>
    </w:div>
    <w:div w:id="1942450644">
      <w:bodyDiv w:val="1"/>
      <w:marLeft w:val="0"/>
      <w:marRight w:val="0"/>
      <w:marTop w:val="0"/>
      <w:marBottom w:val="0"/>
      <w:divBdr>
        <w:top w:val="none" w:sz="0" w:space="0" w:color="auto"/>
        <w:left w:val="none" w:sz="0" w:space="0" w:color="auto"/>
        <w:bottom w:val="none" w:sz="0" w:space="0" w:color="auto"/>
        <w:right w:val="none" w:sz="0" w:space="0" w:color="auto"/>
      </w:divBdr>
    </w:div>
    <w:div w:id="2035304748">
      <w:bodyDiv w:val="1"/>
      <w:marLeft w:val="0"/>
      <w:marRight w:val="0"/>
      <w:marTop w:val="0"/>
      <w:marBottom w:val="0"/>
      <w:divBdr>
        <w:top w:val="none" w:sz="0" w:space="0" w:color="auto"/>
        <w:left w:val="none" w:sz="0" w:space="0" w:color="auto"/>
        <w:bottom w:val="none" w:sz="0" w:space="0" w:color="auto"/>
        <w:right w:val="none" w:sz="0" w:space="0" w:color="auto"/>
      </w:divBdr>
    </w:div>
    <w:div w:id="2129354932">
      <w:bodyDiv w:val="1"/>
      <w:marLeft w:val="0"/>
      <w:marRight w:val="0"/>
      <w:marTop w:val="0"/>
      <w:marBottom w:val="0"/>
      <w:divBdr>
        <w:top w:val="none" w:sz="0" w:space="0" w:color="auto"/>
        <w:left w:val="none" w:sz="0" w:space="0" w:color="auto"/>
        <w:bottom w:val="none" w:sz="0" w:space="0" w:color="auto"/>
        <w:right w:val="none" w:sz="0" w:space="0" w:color="auto"/>
      </w:divBdr>
      <w:divsChild>
        <w:div w:id="822239342">
          <w:marLeft w:val="0"/>
          <w:marRight w:val="0"/>
          <w:marTop w:val="0"/>
          <w:marBottom w:val="0"/>
          <w:divBdr>
            <w:top w:val="none" w:sz="0" w:space="0" w:color="auto"/>
            <w:left w:val="none" w:sz="0" w:space="0" w:color="auto"/>
            <w:bottom w:val="none" w:sz="0" w:space="0" w:color="auto"/>
            <w:right w:val="none" w:sz="0" w:space="0" w:color="auto"/>
          </w:divBdr>
          <w:divsChild>
            <w:div w:id="1627002763">
              <w:marLeft w:val="0"/>
              <w:marRight w:val="0"/>
              <w:marTop w:val="0"/>
              <w:marBottom w:val="0"/>
              <w:divBdr>
                <w:top w:val="none" w:sz="0" w:space="0" w:color="auto"/>
                <w:left w:val="none" w:sz="0" w:space="0" w:color="auto"/>
                <w:bottom w:val="none" w:sz="0" w:space="0" w:color="auto"/>
                <w:right w:val="none" w:sz="0" w:space="0" w:color="auto"/>
              </w:divBdr>
              <w:divsChild>
                <w:div w:id="1919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glhrc.org/content/chile%E2%80%99s-gender-identity-bill-two-years-later" TargetMode="External"/><Relationship Id="rId4" Type="http://schemas.openxmlformats.org/officeDocument/2006/relationships/hyperlink" Target="http://www.unicef.org/esaro/Current_Issues_Paper-_Sexual_Identification_Gender_Identity.pdf" TargetMode="External"/><Relationship Id="rId5" Type="http://schemas.openxmlformats.org/officeDocument/2006/relationships/hyperlink" Target="http://www.unicef.cl/web/wp-content/uploads/doc_wp/Agenda%202014%202017.pdf" TargetMode="External"/><Relationship Id="rId1" Type="http://schemas.openxmlformats.org/officeDocument/2006/relationships/hyperlink" Target="http://www.senado.cl/appsenado/index.php?mo=comisiones&amp;ac=sesiones_celebradas&amp;idcomision=199&amp;tipo=3&amp;ano=2015&amp;comi_nombre=de%2520Derechos%2520Humanos%2C%2520Nacionalidad%2520y%2520Ciudadan%25C3%25ADa&amp;idsesion=9570&amp;idpunto=%25%25SESIONES_CELEBRADAS.IDPUNTO%25%25&amp;fecha=03%2F06%2F2015&amp;inicio=12%3A00&amp;termino=13%3A30&amp;lugar=Sala%25207%2C%2520Senado%2C%2520Valpara%25C3%25ADso&amp;listado=2" TargetMode="External"/><Relationship Id="rId2" Type="http://schemas.openxmlformats.org/officeDocument/2006/relationships/hyperlink" Target="http://www.movilh.cl/chilediverso/Por_un_Chile_Diverso-Propuestas_contra_la_discrimina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4353</Words>
  <Characters>23947</Characters>
  <Application>Microsoft Macintosh Word</Application>
  <DocSecurity>0</DocSecurity>
  <Lines>199</Lines>
  <Paragraphs>56</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INTRODUCCIÓN</vt:lpstr>
      <vt:lpstr>I. Principios generales (arts. 2, 3, 6 y 12)</vt:lpstr>
      <vt:lpstr>    1. La Ley Anti-Discriminación no aplica el principio de la no discriminación de </vt:lpstr>
      <vt:lpstr>    2. Los oficiales públicos a nivel nacional y regional deben recibir educación y </vt:lpstr>
      <vt:lpstr>    3. El Código Penal criminaliza la expresión de la orientación sexual de hombres </vt:lpstr>
      <vt:lpstr>    4.Falta de protección a los niños, niñas y adolescentes LGBT (Artículos 2, 3, 6 </vt:lpstr>
      <vt:lpstr>Recomendaciones</vt:lpstr>
      <vt:lpstr>II. Derechos y libertades civiles (arts. 7, 8 y 13-17)</vt:lpstr>
      <vt:lpstr>    1. El derecho a preservar la identidad de género </vt:lpstr>
      <vt:lpstr>Recomendaciones</vt:lpstr>
      <vt:lpstr>III. Educación (artículo 28 par 2 y artículo 29)</vt:lpstr>
      <vt:lpstr>    1. Los niños, niñas y adolescentes trans son constantemente privados del derecho</vt:lpstr>
      <vt:lpstr>Recomendaciones:</vt:lpstr>
      <vt:lpstr>IV. Entorno familiar y modalidades alternativas de cuidado (arts. 5, 18, y 21)</vt:lpstr>
      <vt:lpstr>    1. La adopción en relación con las uniones civiles de parejas del mismo sexo. </vt:lpstr>
      <vt:lpstr>Recomendaciones:</vt:lpstr>
    </vt:vector>
  </TitlesOfParts>
  <Company>home</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Vargas Pulido</dc:creator>
  <cp:keywords/>
  <dc:description/>
  <cp:lastModifiedBy>Valentina Pozo Olavarrieta</cp:lastModifiedBy>
  <cp:revision>2</cp:revision>
  <dcterms:created xsi:type="dcterms:W3CDTF">2015-07-13T20:03:00Z</dcterms:created>
  <dcterms:modified xsi:type="dcterms:W3CDTF">2015-07-13T20:03:00Z</dcterms:modified>
</cp:coreProperties>
</file>